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ableau"/>
        <w:bidi w:val="0"/>
        <w:spacing w:before="120" w:after="120"/>
        <w:jc w:val="end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bidi w:val="0"/>
        <w:rPr>
          <w:lang w:val="fr-FR" w:eastAsia="zxx" w:bidi="zxx"/>
        </w:rPr>
      </w:pPr>
      <w:r>
        <w:rPr>
          <w:lang w:val="fr-FR" w:eastAsia="zxx" w:bidi="zxx"/>
        </w:rPr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textAlignment w:val="center"/>
        <w:rPr/>
      </w:pPr>
      <w:r>
        <w:rPr>
          <w:b/>
          <w:bCs/>
          <w:sz w:val="40"/>
          <w:szCs w:val="40"/>
          <w:lang w:val="fr-FR" w:eastAsia="zxx" w:bidi="zxx"/>
        </w:rPr>
        <w:t>ANNEXE 1 – ACTE D’ENGAGEMENT</w:t>
      </w:r>
      <w:r>
        <w:rPr>
          <w:lang w:val="fr-FR" w:eastAsia="zxx" w:bidi="zxx"/>
        </w:rPr>
        <w:b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p>
      <w:pPr>
        <w:pStyle w:val="BodyText"/>
        <w:keepLines/>
        <w:bidi w:val="0"/>
        <w:spacing w:before="57" w:after="0"/>
        <w:jc w:val="center"/>
        <w:rPr/>
      </w:pPr>
      <w:r>
        <w:rPr/>
      </w:r>
    </w:p>
    <w:tbl>
      <w:tblPr>
        <w:tblW w:w="9637" w:type="dxa"/>
        <w:jc w:val="center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557"/>
        <w:gridCol w:w="8520"/>
        <w:gridCol w:w="560"/>
      </w:tblGrid>
      <w:tr>
        <w:trPr>
          <w:trHeight w:val="1163" w:hRule="atLeast"/>
        </w:trPr>
        <w:tc>
          <w:tcPr>
            <w:tcW w:w="557" w:type="dxa"/>
            <w:tcBorders>
              <w:top w:val="single" w:sz="2" w:space="0" w:color="000000"/>
              <w:start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end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520" w:type="dxa"/>
            <w:tcBorders>
              <w:top w:val="single" w:sz="2" w:space="0" w:color="000000"/>
            </w:tcBorders>
            <w:vAlign w:val="center"/>
          </w:tcPr>
          <w:p>
            <w:pPr>
              <w:pStyle w:val="Title"/>
              <w:bidi w:val="0"/>
              <w:spacing w:before="567" w:after="567"/>
              <w:jc w:val="center"/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</w:pPr>
            <w:r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  <w:t>Mission</w:t>
            </w:r>
            <w:r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  <w:t>s</w:t>
            </w:r>
            <w:r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  <w:t xml:space="preserve"> de contrôle technique de </w:t>
            </w:r>
            <w:r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  <w:t>la</w:t>
            </w:r>
            <w:r>
              <w:rPr>
                <w:rFonts w:ascii="Arial" w:hAnsi="Arial"/>
                <w:b/>
                <w:bCs/>
                <w:i w:val="false"/>
                <w:iCs w:val="false"/>
                <w:sz w:val="40"/>
                <w:szCs w:val="40"/>
                <w:lang w:eastAsia="zxx" w:bidi="zxx"/>
              </w:rPr>
              <w:t xml:space="preserve"> construction (CTC) au profit des services et établissements publics de l'Etat en région Nouvelle-Aquitaine</w:t>
            </w:r>
          </w:p>
        </w:tc>
        <w:tc>
          <w:tcPr>
            <w:tcW w:w="560" w:type="dxa"/>
            <w:tcBorders>
              <w:top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end"/>
              <w:rPr>
                <w:sz w:val="22"/>
              </w:rPr>
            </w:pPr>
            <w:r>
              <w:rPr>
                <w:sz w:val="22"/>
              </w:rPr>
            </w:r>
          </w:p>
        </w:tc>
      </w:tr>
      <w:tr>
        <w:trPr>
          <w:trHeight w:val="1068" w:hRule="atLeast"/>
        </w:trPr>
        <w:tc>
          <w:tcPr>
            <w:tcW w:w="557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end"/>
              <w:rPr>
                <w:sz w:val="22"/>
              </w:rPr>
            </w:pPr>
            <w:r>
              <w:rPr>
                <w:sz w:val="22"/>
              </w:rPr>
            </w:r>
          </w:p>
        </w:tc>
        <w:tc>
          <w:tcPr>
            <w:tcW w:w="8520" w:type="dxa"/>
            <w:tcBorders>
              <w:bottom w:val="single" w:sz="2" w:space="0" w:color="000000"/>
            </w:tcBorders>
            <w:vAlign w:val="center"/>
          </w:tcPr>
          <w:p>
            <w:pPr>
              <w:pStyle w:val="BodyText"/>
              <w:bidi w:val="0"/>
              <w:spacing w:before="57" w:after="0"/>
              <w:jc w:val="center"/>
              <w:rPr>
                <w:b/>
                <w:bCs/>
                <w:sz w:val="30"/>
                <w:szCs w:val="30"/>
              </w:rPr>
            </w:pPr>
            <w:r>
              <w:rPr>
                <w:b/>
                <w:bCs/>
                <w:sz w:val="30"/>
                <w:szCs w:val="30"/>
              </w:rPr>
              <w:t>Bordereau de</w:t>
            </w:r>
            <w:r>
              <w:rPr>
                <w:b/>
                <w:bCs/>
                <w:sz w:val="30"/>
                <w:szCs w:val="30"/>
              </w:rPr>
              <w:t>s</w:t>
            </w:r>
            <w:r>
              <w:rPr>
                <w:b/>
                <w:bCs/>
                <w:sz w:val="30"/>
                <w:szCs w:val="30"/>
              </w:rPr>
              <w:t xml:space="preserve"> prix </w:t>
            </w:r>
            <w:r>
              <w:rPr>
                <w:b/>
                <w:bCs/>
                <w:sz w:val="30"/>
                <w:szCs w:val="30"/>
              </w:rPr>
              <w:t xml:space="preserve">du </w:t>
            </w:r>
            <w:r>
              <w:rPr>
                <w:b/>
                <w:bCs/>
                <w:sz w:val="30"/>
                <w:szCs w:val="30"/>
              </w:rPr>
              <w:t>lot n°</w:t>
            </w:r>
            <w:r>
              <w:rPr>
                <w:b/>
                <w:bCs/>
                <w:sz w:val="22"/>
                <w:szCs w:val="22"/>
                <w:shd w:fill="FFFF00" w:val="clear"/>
              </w:rPr>
              <w:t>(</w:t>
            </w:r>
            <w:r>
              <w:rPr>
                <w:b/>
                <w:bCs/>
                <w:i/>
                <w:iCs/>
                <w:sz w:val="22"/>
                <w:szCs w:val="22"/>
                <w:shd w:fill="FFFF00" w:val="clear"/>
                <w:lang w:val="zxx" w:eastAsia="zxx" w:bidi="zxx"/>
              </w:rPr>
              <w:t>à compléter par le candidat)</w:t>
            </w:r>
          </w:p>
        </w:tc>
        <w:tc>
          <w:tcPr>
            <w:tcW w:w="560" w:type="dxa"/>
            <w:tcBorders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end"/>
              <w:rPr>
                <w:sz w:val="22"/>
              </w:rPr>
            </w:pPr>
            <w:r>
              <w:rPr>
                <w:sz w:val="22"/>
              </w:rPr>
            </w:r>
          </w:p>
        </w:tc>
      </w:tr>
    </w:tbl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>
          <w:b/>
          <w:bCs/>
        </w:rPr>
        <w:t xml:space="preserve">Numéro de consultation : </w:t>
      </w:r>
      <w:r>
        <w:rPr>
          <w:b/>
          <w:bCs/>
          <w:sz w:val="20"/>
          <w:lang w:val="zxx" w:eastAsia="zxx" w:bidi="zxx"/>
        </w:rPr>
        <w:t>202</w:t>
      </w:r>
      <w:r>
        <w:rPr>
          <w:b/>
          <w:bCs/>
          <w:sz w:val="20"/>
          <w:lang w:val="zxx" w:eastAsia="zxx" w:bidi="zxx"/>
        </w:rPr>
        <w:t>6</w:t>
      </w:r>
      <w:r>
        <w:rPr>
          <w:b/>
          <w:bCs/>
          <w:sz w:val="20"/>
          <w:lang w:val="zxx" w:eastAsia="zxx" w:bidi="zxx"/>
        </w:rPr>
        <w:t>-PFRANA-</w:t>
      </w:r>
      <w:r>
        <w:rPr>
          <w:b/>
          <w:bCs/>
          <w:sz w:val="20"/>
          <w:lang w:val="zxx" w:eastAsia="zxx" w:bidi="zxx"/>
        </w:rPr>
        <w:t>0</w:t>
      </w:r>
      <w:r>
        <w:rPr>
          <w:b/>
          <w:bCs/>
          <w:sz w:val="20"/>
          <w:lang w:val="zxx" w:eastAsia="zxx" w:bidi="zxx"/>
        </w:rPr>
        <w:t>6</w:t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>
          <w:b/>
          <w:bCs/>
        </w:rPr>
        <w:t xml:space="preserve">Procédure de </w:t>
      </w:r>
      <w:r>
        <w:rPr>
          <w:b/>
          <w:bCs/>
          <w:lang w:val="fr-FR" w:eastAsia="zxx" w:bidi="zxx"/>
        </w:rPr>
        <w:t>passation</w:t>
      </w:r>
      <w:r>
        <w:rPr>
          <w:b/>
          <w:bCs/>
        </w:rPr>
        <w:t xml:space="preserve"> :</w:t>
      </w:r>
      <w:r>
        <w:rPr/>
        <w:t xml:space="preserve"> </w:t>
      </w:r>
      <w:r>
        <w:rPr/>
        <w:fldChar w:fldCharType="begin"/>
      </w:r>
      <w:r>
        <w:rPr/>
        <w:instrText xml:space="preserve"> DOCVARIABLE ProcedurePassation </w:instrText>
      </w:r>
      <w:r>
        <w:rPr/>
        <w:fldChar w:fldCharType="separate"/>
      </w:r>
      <w:r>
        <w:rPr/>
        <w:t>Appel d’offres ouvert</w:t>
      </w:r>
      <w:r>
        <w:rPr/>
        <w:fldChar w:fldCharType="end"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spacing w:before="57" w:after="0"/>
        <w:jc w:val="end"/>
        <w:textAlignment w:val="center"/>
        <w:rPr/>
      </w:pPr>
      <w:r>
        <w:rPr/>
      </w:r>
    </w:p>
    <w:p>
      <w:pPr>
        <w:pStyle w:val="Normal"/>
        <w:bidi w:val="0"/>
        <w:jc w:val="end"/>
        <w:rPr>
          <w:rStyle w:val="Strong"/>
          <w:rFonts w:ascii="Verdana" w:hAnsi="Verdana" w:eastAsia="Times New Roman" w:cs="Times New Roman"/>
          <w:b w:val="false"/>
          <w:bCs w:val="false"/>
          <w:iCs/>
          <w:color w:val="00000A"/>
          <w:sz w:val="16"/>
          <w:u w:val="none"/>
          <w:shd w:fill="auto" w:val="clear"/>
          <w:lang w:val="fr-FR" w:eastAsia="fr-FR" w:bidi="ar-SA"/>
        </w:rPr>
      </w:pPr>
      <w:r>
        <w:rPr>
          <w:szCs w:val="16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end"/>
        <w:rPr/>
        <w:sectPr>
          <w:headerReference w:type="default" r:id="rId2"/>
          <w:type w:val="nextPage"/>
          <w:pgSz w:w="11905" w:h="16837"/>
          <w:pgMar w:left="1134" w:right="1134" w:gutter="0" w:header="315" w:top="2072" w:footer="0" w:bottom="1312"/>
          <w:pgNumType w:fmt="decimal"/>
          <w:formProt w:val="false"/>
          <w:textDirection w:val="lrTb"/>
          <w:docGrid w:type="default" w:linePitch="600" w:charSpace="40960"/>
        </w:sectPr>
      </w:pPr>
      <w:r>
        <w:rPr/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b/>
          <w:bCs/>
          <w:sz w:val="22"/>
        </w:rPr>
        <w:t xml:space="preserve">Prix en euros hors taxes (€ HT) </w:t>
      </w:r>
      <w:r>
        <w:rPr>
          <w:rFonts w:cs="Arial" w:ascii="Arial" w:hAnsi="Arial"/>
          <w:b/>
          <w:bCs/>
          <w:sz w:val="22"/>
        </w:rPr>
        <w:t xml:space="preserve">pour </w:t>
      </w:r>
      <w:r>
        <w:rPr>
          <w:rFonts w:cs="Arial" w:ascii="Arial" w:hAnsi="Arial"/>
          <w:b/>
          <w:bCs/>
          <w:sz w:val="22"/>
        </w:rPr>
        <w:t>des opérations du 1</w:t>
      </w:r>
      <w:r>
        <w:rPr>
          <w:rFonts w:cs="Arial" w:ascii="Arial" w:hAnsi="Arial"/>
          <w:b/>
          <w:bCs/>
          <w:sz w:val="22"/>
          <w:vertAlign w:val="superscript"/>
        </w:rPr>
        <w:t>er</w:t>
      </w:r>
      <w:r>
        <w:rPr>
          <w:rFonts w:cs="Arial" w:ascii="Arial" w:hAnsi="Arial"/>
          <w:b/>
          <w:bCs/>
          <w:sz w:val="22"/>
        </w:rPr>
        <w:t xml:space="preserve"> niveau technique.</w:t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12"/>
          <w:szCs w:val="12"/>
        </w:rPr>
      </w:pPr>
      <w:r>
        <w:rPr>
          <w:rFonts w:cs="Arial" w:ascii="Arial" w:hAnsi="Arial"/>
          <w:b/>
          <w:bCs/>
          <w:sz w:val="12"/>
          <w:szCs w:val="12"/>
        </w:rPr>
      </w:r>
    </w:p>
    <w:tbl>
      <w:tblPr>
        <w:tblW w:w="21979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144"/>
        <w:gridCol w:w="1073"/>
        <w:gridCol w:w="2272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>
        <w:trPr/>
        <w:tc>
          <w:tcPr>
            <w:tcW w:w="1144" w:type="dxa"/>
            <w:tcBorders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073" w:type="dxa"/>
            <w:vMerge w:val="restart"/>
            <w:tcBorders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2272" w:type="dxa"/>
            <w:vMerge w:val="restart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BF2B7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Durée prévisionnelle des travaux</w:t>
            </w:r>
          </w:p>
        </w:tc>
        <w:tc>
          <w:tcPr>
            <w:tcW w:w="17490" w:type="dxa"/>
            <w:gridSpan w:val="15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649B88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Unité</w:t>
            </w:r>
            <w:r>
              <w:rPr>
                <w:rFonts w:cs="Arial"/>
                <w:b/>
                <w:bCs/>
                <w:sz w:val="16"/>
                <w:szCs w:val="16"/>
              </w:rPr>
              <w:t>s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d'oeuvre – </w:t>
            </w:r>
            <w:r>
              <w:rPr>
                <w:rFonts w:cs="Arial"/>
                <w:b/>
                <w:bCs/>
                <w:sz w:val="16"/>
                <w:szCs w:val="16"/>
              </w:rPr>
              <w:t>Prix en euros hors taxes (€ HT)</w:t>
            </w:r>
          </w:p>
        </w:tc>
      </w:tr>
      <w:tr>
        <w:trPr/>
        <w:tc>
          <w:tcPr>
            <w:tcW w:w="1144" w:type="dxa"/>
            <w:vMerge w:val="restart"/>
            <w:tcBorders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073" w:type="dxa"/>
            <w:vMerge w:val="continue"/>
            <w:tcBorders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BF2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332" w:type="dxa"/>
            <w:gridSpan w:val="2"/>
            <w:tcBorders>
              <w:start w:val="single" w:sz="2" w:space="0" w:color="000000"/>
              <w:bottom w:val="single" w:sz="2" w:space="0" w:color="000000"/>
            </w:tcBorders>
            <w:shd w:fill="B0F2B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Missions de base</w:t>
            </w:r>
          </w:p>
        </w:tc>
        <w:tc>
          <w:tcPr>
            <w:tcW w:w="15158" w:type="dxa"/>
            <w:gridSpan w:val="13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Missions complémentaires</w:t>
            </w:r>
          </w:p>
        </w:tc>
      </w:tr>
      <w:tr>
        <w:trPr/>
        <w:tc>
          <w:tcPr>
            <w:tcW w:w="1144" w:type="dxa"/>
            <w:vMerge w:val="continue"/>
            <w:tcBorders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vMerge w:val="continue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BF2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B0F2B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L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B0F2B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PS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TH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HAND (dont Att Hand)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P1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PH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F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Brd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Le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Av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GTB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ENV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HYS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97DFC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Mission CO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Contenudetableau"/>
              <w:tabs>
                <w:tab w:val="clear" w:pos="706"/>
              </w:tabs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Assiette prévisionnelle des travaux définie par le maître d'ouvrage (montant des travaux </w:t>
            </w:r>
          </w:p>
          <w:p>
            <w:pPr>
              <w:pStyle w:val="Contenudetableau"/>
              <w:tabs>
                <w:tab w:val="clear" w:pos="706"/>
              </w:tabs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en €</w:t>
            </w:r>
            <w:r>
              <w:rPr>
                <w:rFonts w:cs="Arial"/>
                <w:sz w:val="16"/>
                <w:szCs w:val="16"/>
              </w:rPr>
              <w:t xml:space="preserve"> HT)</w:t>
            </w:r>
          </w:p>
        </w:tc>
        <w:tc>
          <w:tcPr>
            <w:tcW w:w="1073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 à 50 000</w:t>
            </w:r>
          </w:p>
        </w:tc>
        <w:tc>
          <w:tcPr>
            <w:tcW w:w="2272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 à 3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 à 6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Supérieure à</w:t>
            </w:r>
            <w:r>
              <w:rPr>
                <w:rFonts w:cs="Arial"/>
                <w:sz w:val="16"/>
                <w:szCs w:val="16"/>
              </w:rPr>
              <w:t xml:space="preserve"> 6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50 001</w:t>
            </w:r>
          </w:p>
          <w:p>
            <w:pPr>
              <w:pStyle w:val="Contenudetableau"/>
              <w:bidi w:val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 à 6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Supérieure à 1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00 001</w:t>
            </w:r>
          </w:p>
          <w:p>
            <w:pPr>
              <w:pStyle w:val="Contenudetableau"/>
              <w:bidi w:val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Supérieure à 1</w:t>
            </w:r>
            <w:r>
              <w:rPr>
                <w:rFonts w:cs="Arial"/>
                <w:sz w:val="16"/>
                <w:szCs w:val="16"/>
              </w:rPr>
              <w:t>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00 001</w:t>
            </w:r>
          </w:p>
          <w:p>
            <w:pPr>
              <w:pStyle w:val="Contenudetableau"/>
              <w:bidi w:val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00 001</w:t>
            </w:r>
          </w:p>
          <w:p>
            <w:pPr>
              <w:pStyle w:val="Contenudetableau"/>
              <w:bidi w:val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00 001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75</w:t>
            </w:r>
            <w:r>
              <w:rPr>
                <w:rFonts w:cs="Arial"/>
                <w:sz w:val="16"/>
                <w:szCs w:val="16"/>
              </w:rPr>
              <w:t>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75</w:t>
            </w:r>
            <w:r>
              <w:rPr>
                <w:rFonts w:cs="Arial"/>
                <w:sz w:val="16"/>
                <w:szCs w:val="16"/>
              </w:rPr>
              <w:t xml:space="preserve">0 001 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000 000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2 0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12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2 000 001</w:t>
            </w:r>
          </w:p>
          <w:p>
            <w:pPr>
              <w:pStyle w:val="Contenudetableau"/>
              <w:bidi w:val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à 4 000 000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6 à 12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4 000 001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000 000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à 8 000 000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restart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</w:p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à 10 000 000</w:t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12 à 18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  <w:vAlign w:val="center"/>
          </w:tcPr>
          <w:p>
            <w:pPr>
              <w:pStyle w:val="Contenudetableau"/>
              <w:bidi w:val="0"/>
              <w:spacing w:before="57" w:after="0"/>
              <w:jc w:val="start"/>
              <w:rPr>
                <w:rFonts w:ascii="Arial" w:hAnsi="Arial" w:cs="Arial"/>
                <w:b w:val="false"/>
                <w:bCs w:val="false"/>
                <w:sz w:val="16"/>
                <w:szCs w:val="16"/>
                <w:lang w:val="zxx" w:eastAsia="zxx" w:bidi="zxx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18 à 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073" w:type="dxa"/>
            <w:vMerge w:val="continue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2272" w:type="dxa"/>
            <w:tcBorders>
              <w:star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Contenudetableau"/>
              <w:bidi w:val="0"/>
              <w:spacing w:before="0" w:after="0"/>
              <w:jc w:val="start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Supérieure à </w:t>
            </w:r>
            <w:r>
              <w:rPr>
                <w:rFonts w:cs="Arial"/>
                <w:sz w:val="16"/>
                <w:szCs w:val="16"/>
              </w:rPr>
              <w:t>24 mois</w:t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1166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</w:tbl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start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tbl>
      <w:tblPr>
        <w:tblW w:w="13556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1144"/>
        <w:gridCol w:w="3556"/>
        <w:gridCol w:w="4428"/>
        <w:gridCol w:w="4428"/>
      </w:tblGrid>
      <w:tr>
        <w:trPr/>
        <w:tc>
          <w:tcPr>
            <w:tcW w:w="1144" w:type="dxa"/>
            <w:tcBorders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3556" w:type="dxa"/>
            <w:vMerge w:val="restart"/>
            <w:tcBorders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  <w:tc>
          <w:tcPr>
            <w:tcW w:w="8856" w:type="dxa"/>
            <w:gridSpan w:val="2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649B88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>Unité</w:t>
            </w:r>
            <w:r>
              <w:rPr>
                <w:rFonts w:cs="Arial"/>
                <w:b/>
                <w:bCs/>
                <w:sz w:val="16"/>
                <w:szCs w:val="16"/>
              </w:rPr>
              <w:t>s</w:t>
            </w:r>
            <w:r>
              <w:rPr>
                <w:rFonts w:cs="Arial"/>
                <w:b/>
                <w:bCs/>
                <w:sz w:val="16"/>
                <w:szCs w:val="16"/>
              </w:rPr>
              <w:t xml:space="preserve"> d'oeuvre – </w:t>
            </w:r>
            <w:r>
              <w:rPr>
                <w:rFonts w:cs="Arial"/>
                <w:b/>
                <w:bCs/>
                <w:sz w:val="16"/>
                <w:szCs w:val="16"/>
              </w:rPr>
              <w:t>Prix en euros hors taxes (€ HT)</w:t>
            </w:r>
          </w:p>
        </w:tc>
      </w:tr>
      <w:tr>
        <w:trPr/>
        <w:tc>
          <w:tcPr>
            <w:tcW w:w="1144" w:type="dxa"/>
            <w:tcBorders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3556" w:type="dxa"/>
            <w:vMerge w:val="continue"/>
            <w:tcBorders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B0F2B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Mission </w:t>
            </w:r>
            <w:r>
              <w:rPr>
                <w:rFonts w:cs="Arial"/>
                <w:b/>
                <w:bCs/>
                <w:sz w:val="16"/>
                <w:szCs w:val="16"/>
              </w:rPr>
              <w:t>VIEL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B0F2B6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16"/>
                <w:szCs w:val="16"/>
              </w:rPr>
            </w:pPr>
            <w:r>
              <w:rPr>
                <w:rFonts w:cs="Arial"/>
                <w:b/>
                <w:bCs/>
                <w:sz w:val="16"/>
                <w:szCs w:val="16"/>
              </w:rPr>
              <w:t xml:space="preserve">Mission </w:t>
            </w:r>
            <w:r>
              <w:rPr>
                <w:rFonts w:cs="Arial"/>
                <w:b/>
                <w:bCs/>
                <w:sz w:val="16"/>
                <w:szCs w:val="16"/>
              </w:rPr>
              <w:t>VIAMSET</w:t>
            </w:r>
          </w:p>
        </w:tc>
      </w:tr>
      <w:tr>
        <w:trPr/>
        <w:tc>
          <w:tcPr>
            <w:tcW w:w="1144" w:type="dxa"/>
            <w:vMerge w:val="restart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Contenudetableau"/>
              <w:tabs>
                <w:tab w:val="clear" w:pos="706"/>
              </w:tabs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Assiette prévisionnelle des travaux définie par le maître d'ouvrage (montant des travaux </w:t>
            </w:r>
          </w:p>
          <w:p>
            <w:pPr>
              <w:pStyle w:val="Contenudetableau"/>
              <w:tabs>
                <w:tab w:val="clear" w:pos="706"/>
              </w:tabs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en €</w:t>
            </w:r>
            <w:r>
              <w:rPr>
                <w:rFonts w:cs="Arial"/>
                <w:sz w:val="16"/>
                <w:szCs w:val="16"/>
              </w:rPr>
              <w:t xml:space="preserve"> HT)</w:t>
            </w:r>
          </w:p>
        </w:tc>
        <w:tc>
          <w:tcPr>
            <w:tcW w:w="3556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0 à 50 000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50 001 à 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00 001 à </w:t>
            </w: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</w:t>
            </w:r>
            <w:r>
              <w:rPr>
                <w:rFonts w:cs="Arial"/>
                <w:sz w:val="16"/>
                <w:szCs w:val="16"/>
              </w:rPr>
              <w:t xml:space="preserve">00 001 à </w:t>
            </w: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</w:t>
            </w:r>
            <w:r>
              <w:rPr>
                <w:rFonts w:cs="Arial"/>
                <w:sz w:val="16"/>
                <w:szCs w:val="16"/>
              </w:rPr>
              <w:t xml:space="preserve">00 001 à </w:t>
            </w:r>
            <w:r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5</w:t>
            </w:r>
            <w:r>
              <w:rPr>
                <w:rFonts w:cs="Arial"/>
                <w:sz w:val="16"/>
                <w:szCs w:val="16"/>
              </w:rPr>
              <w:t xml:space="preserve">00 001 </w:t>
            </w: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75</w:t>
            </w:r>
            <w:r>
              <w:rPr>
                <w:rFonts w:cs="Arial"/>
                <w:sz w:val="16"/>
                <w:szCs w:val="16"/>
              </w:rPr>
              <w:t>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75</w:t>
            </w:r>
            <w:r>
              <w:rPr>
                <w:rFonts w:cs="Arial"/>
                <w:sz w:val="16"/>
                <w:szCs w:val="16"/>
              </w:rPr>
              <w:t xml:space="preserve">0 001 </w:t>
            </w: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000 000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1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2 0</w:t>
            </w:r>
            <w:r>
              <w:rPr>
                <w:rFonts w:cs="Arial"/>
                <w:sz w:val="16"/>
                <w:szCs w:val="16"/>
              </w:rPr>
              <w:t>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>
          <w:trHeight w:val="418" w:hRule="atLeast"/>
        </w:trPr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2 000 001 à 4 000 000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4 000 001 </w:t>
            </w:r>
            <w:r>
              <w:rPr>
                <w:rFonts w:cs="Arial"/>
                <w:sz w:val="16"/>
                <w:szCs w:val="16"/>
              </w:rPr>
              <w:t xml:space="preserve">à </w:t>
            </w:r>
            <w:r>
              <w:rPr>
                <w:rFonts w:cs="Arial"/>
                <w:sz w:val="16"/>
                <w:szCs w:val="16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000 000</w:t>
            </w:r>
          </w:p>
        </w:tc>
        <w:tc>
          <w:tcPr>
            <w:tcW w:w="442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6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  <w:r>
              <w:rPr>
                <w:rFonts w:cs="Arial"/>
                <w:sz w:val="16"/>
                <w:szCs w:val="16"/>
              </w:rPr>
              <w:t>à 8 000 000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  <w:shd w:fill="F5F5DC" w:val="clear"/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5F5DC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  <w:tr>
        <w:trPr/>
        <w:tc>
          <w:tcPr>
            <w:tcW w:w="1144" w:type="dxa"/>
            <w:vMerge w:val="continue"/>
            <w:tcBorders>
              <w:top w:val="single" w:sz="2" w:space="0" w:color="000000"/>
              <w:start w:val="single" w:sz="2" w:space="0" w:color="000000"/>
              <w:bottom w:val="single" w:sz="2" w:space="0" w:color="000000"/>
              <w:end w:val="single" w:sz="2" w:space="0" w:color="000000"/>
            </w:tcBorders>
            <w:shd w:fill="FDBFB7" w:val="clear"/>
            <w:vAlign w:val="center"/>
          </w:tcPr>
          <w:p>
            <w:pPr>
              <w:pStyle w:val="Normal"/>
              <w:bidi w:val="0"/>
              <w:spacing w:before="57" w:after="0"/>
              <w:jc w:val="end"/>
              <w:textAlignment w:val="center"/>
              <w:rPr/>
            </w:pPr>
            <w:r>
              <w:rPr/>
            </w:r>
          </w:p>
        </w:tc>
        <w:tc>
          <w:tcPr>
            <w:tcW w:w="3556" w:type="dxa"/>
            <w:tcBorders>
              <w:start w:val="single" w:sz="2" w:space="0" w:color="000000"/>
              <w:bottom w:val="single" w:sz="2" w:space="0" w:color="000000"/>
            </w:tcBorders>
            <w:shd w:fill="FDE9E0" w:val="clear"/>
            <w:vAlign w:val="center"/>
          </w:tcPr>
          <w:p>
            <w:pPr>
              <w:pStyle w:val="Contenudetableau"/>
              <w:bidi w:val="0"/>
              <w:spacing w:before="0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 w:val="false"/>
                <w:bCs w:val="false"/>
                <w:sz w:val="16"/>
                <w:szCs w:val="16"/>
                <w:lang w:val="zxx" w:eastAsia="zxx" w:bidi="zxx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000 001 </w:t>
            </w:r>
            <w:r>
              <w:rPr>
                <w:rFonts w:cs="Arial"/>
                <w:sz w:val="16"/>
                <w:szCs w:val="16"/>
              </w:rPr>
              <w:t>à 10 000 000</w:t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</w:tcBorders>
          </w:tcPr>
          <w:p>
            <w:pPr>
              <w:pStyle w:val="Normal"/>
              <w:bidi w:val="0"/>
              <w:spacing w:before="57" w:after="0"/>
              <w:jc w:val="center"/>
              <w:rPr/>
            </w:pPr>
            <w:r>
              <w:rPr/>
            </w:r>
          </w:p>
        </w:tc>
        <w:tc>
          <w:tcPr>
            <w:tcW w:w="4428" w:type="dxa"/>
            <w:tcBorders>
              <w:start w:val="single" w:sz="2" w:space="0" w:color="000000"/>
              <w:bottom w:val="single" w:sz="2" w:space="0" w:color="000000"/>
              <w:end w:val="single" w:sz="2" w:space="0" w:color="000000"/>
            </w:tcBorders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</w:tc>
      </w:tr>
    </w:tbl>
    <w:p>
      <w:pPr>
        <w:pStyle w:val="Normal"/>
        <w:tabs>
          <w:tab w:val="clear" w:pos="706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18"/>
          <w:szCs w:val="18"/>
        </w:rPr>
      </w:pPr>
      <w:r>
        <w:rPr>
          <w:rFonts w:cs="Arial" w:ascii="Arial" w:hAnsi="Arial"/>
          <w:b/>
          <w:bCs/>
          <w:sz w:val="18"/>
          <w:szCs w:val="18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sz w:val="22"/>
        </w:rPr>
      </w:pPr>
      <w:r>
        <w:rPr>
          <w:rFonts w:cs="Arial" w:ascii="Arial" w:hAnsi="Arial"/>
          <w:sz w:val="22"/>
        </w:rPr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rFonts w:ascii="Arial" w:hAnsi="Arial" w:cs="Arial"/>
          <w:b/>
          <w:bCs/>
          <w:sz w:val="22"/>
        </w:rPr>
      </w:pPr>
      <w:r>
        <w:rPr>
          <w:rFonts w:cs="Arial" w:ascii="Arial" w:hAnsi="Arial"/>
          <w:b/>
          <w:bCs/>
          <w:sz w:val="22"/>
        </w:rPr>
        <w:t xml:space="preserve">Prix </w:t>
      </w:r>
      <w:r>
        <w:rPr>
          <w:rFonts w:cs="Arial" w:ascii="Arial" w:hAnsi="Arial"/>
          <w:b/>
          <w:bCs/>
          <w:sz w:val="22"/>
        </w:rPr>
        <w:t>pour</w:t>
      </w:r>
      <w:r>
        <w:rPr>
          <w:rFonts w:cs="Arial" w:ascii="Arial" w:hAnsi="Arial"/>
          <w:b/>
          <w:bCs/>
          <w:sz w:val="22"/>
        </w:rPr>
        <w:t xml:space="preserve"> des opérations d</w:t>
      </w:r>
      <w:r>
        <w:rPr>
          <w:rFonts w:cs="Arial" w:ascii="Arial" w:hAnsi="Arial"/>
          <w:b/>
          <w:bCs/>
          <w:sz w:val="22"/>
          <w:lang w:val="zxx" w:eastAsia="zxx" w:bidi="zxx"/>
        </w:rPr>
        <w:t>es</w:t>
      </w:r>
      <w:r>
        <w:rPr>
          <w:rFonts w:cs="Arial" w:ascii="Arial" w:hAnsi="Arial"/>
          <w:b/>
          <w:bCs/>
          <w:sz w:val="22"/>
        </w:rPr>
        <w:t xml:space="preserve"> 2</w:t>
      </w:r>
      <w:r>
        <w:rPr>
          <w:rFonts w:cs="Arial" w:ascii="Arial" w:hAnsi="Arial"/>
          <w:b/>
          <w:bCs/>
          <w:sz w:val="22"/>
          <w:vertAlign w:val="superscript"/>
        </w:rPr>
        <w:t>nd</w:t>
      </w:r>
      <w:r>
        <w:rPr>
          <w:rFonts w:cs="Arial" w:ascii="Arial" w:hAnsi="Arial"/>
          <w:b/>
          <w:bCs/>
          <w:sz w:val="22"/>
        </w:rPr>
        <w:t xml:space="preserve"> </w:t>
      </w:r>
      <w:r>
        <w:rPr>
          <w:rFonts w:cs="Arial" w:ascii="Arial" w:hAnsi="Arial"/>
          <w:b/>
          <w:bCs/>
          <w:sz w:val="22"/>
        </w:rPr>
        <w:t>et 3</w:t>
      </w:r>
      <w:r>
        <w:rPr>
          <w:rFonts w:cs="Arial" w:ascii="Arial" w:hAnsi="Arial"/>
          <w:b/>
          <w:bCs/>
          <w:sz w:val="22"/>
          <w:vertAlign w:val="superscript"/>
        </w:rPr>
        <w:t>ème</w:t>
      </w:r>
      <w:r>
        <w:rPr>
          <w:rFonts w:cs="Arial" w:ascii="Arial" w:hAnsi="Arial"/>
          <w:b/>
          <w:bCs/>
          <w:sz w:val="22"/>
        </w:rPr>
        <w:t xml:space="preserve"> </w:t>
      </w:r>
      <w:r>
        <w:rPr>
          <w:rFonts w:cs="Arial" w:ascii="Arial" w:hAnsi="Arial"/>
          <w:b/>
          <w:bCs/>
          <w:sz w:val="22"/>
        </w:rPr>
        <w:t>niveau</w:t>
      </w:r>
      <w:r>
        <w:rPr>
          <w:rFonts w:cs="Arial" w:ascii="Arial" w:hAnsi="Arial"/>
          <w:b/>
          <w:bCs/>
          <w:sz w:val="22"/>
        </w:rPr>
        <w:t>x</w:t>
      </w:r>
      <w:r>
        <w:rPr>
          <w:rFonts w:cs="Arial" w:ascii="Arial" w:hAnsi="Arial"/>
          <w:b/>
          <w:bCs/>
          <w:sz w:val="22"/>
        </w:rPr>
        <w:t xml:space="preserve"> technique</w:t>
      </w:r>
      <w:r>
        <w:rPr>
          <w:rFonts w:cs="Arial" w:ascii="Arial" w:hAnsi="Arial"/>
          <w:b/>
          <w:bCs/>
          <w:sz w:val="22"/>
        </w:rPr>
        <w:t>s</w:t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start"/>
        <w:rPr>
          <w:rFonts w:ascii="Arial" w:hAnsi="Arial" w:cs="Arial"/>
          <w:sz w:val="12"/>
          <w:szCs w:val="12"/>
        </w:rPr>
      </w:pPr>
      <w:r>
        <w:rPr>
          <w:rFonts w:cs="Arial" w:ascii="Arial" w:hAnsi="Arial"/>
          <w:sz w:val="12"/>
          <w:szCs w:val="12"/>
        </w:rPr>
      </w:r>
    </w:p>
    <w:tbl>
      <w:tblPr>
        <w:tblW w:w="14625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8108"/>
        <w:gridCol w:w="6517"/>
      </w:tblGrid>
      <w:tr>
        <w:trPr/>
        <w:tc>
          <w:tcPr>
            <w:tcW w:w="8108" w:type="dxa"/>
            <w:tcBorders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</w:r>
          </w:p>
        </w:tc>
        <w:tc>
          <w:tcPr>
            <w:tcW w:w="6517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649B88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  <w:t>Coefficient multiplicateur appliqué au</w:t>
            </w:r>
            <w:r>
              <w:rPr>
                <w:rFonts w:cs="Arial"/>
                <w:b/>
                <w:bCs/>
              </w:rPr>
              <w:t>x</w:t>
            </w:r>
            <w:r>
              <w:rPr>
                <w:rFonts w:cs="Arial"/>
                <w:b/>
                <w:bCs/>
              </w:rPr>
              <w:t xml:space="preserve"> prix </w:t>
            </w:r>
            <w:r>
              <w:rPr>
                <w:rFonts w:cs="Arial"/>
                <w:b/>
                <w:bCs/>
              </w:rPr>
              <w:t>des opérations du 1</w:t>
            </w:r>
            <w:r>
              <w:rPr>
                <w:rFonts w:cs="Arial"/>
                <w:b/>
                <w:bCs/>
                <w:vertAlign w:val="superscript"/>
              </w:rPr>
              <w:t>er</w:t>
            </w:r>
            <w:r>
              <w:rPr>
                <w:rFonts w:cs="Arial"/>
                <w:b/>
                <w:bCs/>
              </w:rPr>
              <w:t xml:space="preserve"> niveau technique</w:t>
            </w:r>
          </w:p>
        </w:tc>
      </w:tr>
      <w:tr>
        <w:trPr/>
        <w:tc>
          <w:tcPr>
            <w:tcW w:w="8108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BF2B7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>Prix du 2</w:t>
            </w:r>
            <w:r>
              <w:rPr>
                <w:rFonts w:cs="Arial"/>
                <w:b w:val="false"/>
                <w:bCs w:val="false"/>
                <w:sz w:val="17"/>
                <w:vertAlign w:val="superscript"/>
                <w:lang w:val="zxx" w:eastAsia="zxx" w:bidi="zxx"/>
              </w:rPr>
              <w:t>nd</w:t>
            </w:r>
            <w:r>
              <w:rPr>
                <w:rFonts w:cs="Arial"/>
              </w:rPr>
              <w:t xml:space="preserve"> niveau technique – opération moyenne</w:t>
            </w:r>
          </w:p>
        </w:tc>
        <w:tc>
          <w:tcPr>
            <w:tcW w:w="651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  <w:t>1,1</w:t>
            </w:r>
          </w:p>
        </w:tc>
      </w:tr>
      <w:tr>
        <w:trPr/>
        <w:tc>
          <w:tcPr>
            <w:tcW w:w="8108" w:type="dxa"/>
            <w:tcBorders>
              <w:start w:val="single" w:sz="4" w:space="0" w:color="000000"/>
              <w:bottom w:val="single" w:sz="4" w:space="0" w:color="000000"/>
            </w:tcBorders>
            <w:shd w:fill="FBF2B7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 xml:space="preserve">Prix du </w:t>
            </w:r>
            <w:r>
              <w:rPr>
                <w:rFonts w:cs="Arial"/>
              </w:rPr>
              <w:t>3</w:t>
            </w:r>
            <w:r>
              <w:rPr>
                <w:rFonts w:cs="Arial"/>
                <w:b w:val="false"/>
                <w:bCs w:val="false"/>
                <w:sz w:val="17"/>
                <w:vertAlign w:val="superscript"/>
                <w:lang w:val="zxx" w:eastAsia="zxx" w:bidi="zxx"/>
              </w:rPr>
              <w:t>ème</w:t>
            </w:r>
            <w:r>
              <w:rPr>
                <w:rFonts w:cs="Arial"/>
              </w:rPr>
              <w:t xml:space="preserve"> niveau technique – opération complexe</w:t>
            </w:r>
          </w:p>
        </w:tc>
        <w:tc>
          <w:tcPr>
            <w:tcW w:w="6517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  <w:t>1,2</w:t>
            </w:r>
          </w:p>
        </w:tc>
      </w:tr>
    </w:tbl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start"/>
        <w:rPr/>
      </w:pPr>
      <w:r>
        <w:rPr/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center"/>
        <w:rPr>
          <w:b/>
          <w:bCs/>
        </w:rPr>
      </w:pPr>
      <w:r>
        <w:rPr>
          <w:b/>
          <w:bCs/>
        </w:rPr>
        <w:t>Réunions supplémentaires</w:t>
      </w:r>
    </w:p>
    <w:p>
      <w:pPr>
        <w:pStyle w:val="TOC3"/>
        <w:tabs>
          <w:tab w:val="clear" w:pos="9071"/>
          <w:tab w:val="right" w:pos="9468" w:leader="dot"/>
        </w:tabs>
        <w:bidi w:val="0"/>
        <w:ind w:hanging="0" w:start="0" w:end="0"/>
        <w:jc w:val="start"/>
        <w:rPr>
          <w:sz w:val="12"/>
          <w:szCs w:val="12"/>
        </w:rPr>
      </w:pPr>
      <w:r>
        <w:rPr>
          <w:sz w:val="12"/>
          <w:szCs w:val="12"/>
        </w:rPr>
      </w:r>
    </w:p>
    <w:tbl>
      <w:tblPr>
        <w:tblW w:w="14625" w:type="dxa"/>
        <w:jc w:val="start"/>
        <w:tblInd w:w="0" w:type="dxa"/>
        <w:tblLayout w:type="fixed"/>
        <w:tblCellMar>
          <w:top w:w="55" w:type="dxa"/>
          <w:start w:w="55" w:type="dxa"/>
          <w:bottom w:w="55" w:type="dxa"/>
          <w:end w:w="55" w:type="dxa"/>
        </w:tblCellMar>
      </w:tblPr>
      <w:tblGrid>
        <w:gridCol w:w="8100"/>
        <w:gridCol w:w="6525"/>
      </w:tblGrid>
      <w:tr>
        <w:trPr/>
        <w:tc>
          <w:tcPr>
            <w:tcW w:w="8100" w:type="dxa"/>
            <w:tcBorders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</w:r>
          </w:p>
        </w:tc>
        <w:tc>
          <w:tcPr>
            <w:tcW w:w="6525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649B88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  <w:t>Prix en euros HT</w:t>
            </w:r>
          </w:p>
        </w:tc>
      </w:tr>
      <w:tr>
        <w:trPr/>
        <w:tc>
          <w:tcPr>
            <w:tcW w:w="8100" w:type="dxa"/>
            <w:tcBorders>
              <w:top w:val="single" w:sz="4" w:space="0" w:color="000000"/>
              <w:start w:val="single" w:sz="4" w:space="0" w:color="000000"/>
              <w:bottom w:val="single" w:sz="4" w:space="0" w:color="000000"/>
              <w:end w:val="single" w:sz="4" w:space="0" w:color="000000"/>
            </w:tcBorders>
            <w:shd w:fill="FBF2B7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 xml:space="preserve">Réunion de conception, réunion de chantier ou visite supplémentaire </w:t>
            </w:r>
            <w:r>
              <w:rPr>
                <w:rFonts w:cs="Arial"/>
              </w:rPr>
              <w:t>à la demande du maître de l'ouvrage</w:t>
            </w:r>
          </w:p>
          <w:p>
            <w:pPr>
              <w:pStyle w:val="Contenudetableau"/>
              <w:bidi w:val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 xml:space="preserve">(prix pour 1 heure) – </w:t>
            </w:r>
            <w:r>
              <w:rPr>
                <w:rFonts w:cs="Arial"/>
              </w:rPr>
              <w:t>article 18.1.2 du CCAP</w:t>
            </w:r>
          </w:p>
        </w:tc>
        <w:tc>
          <w:tcPr>
            <w:tcW w:w="652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</w:r>
          </w:p>
        </w:tc>
      </w:tr>
      <w:tr>
        <w:trPr>
          <w:trHeight w:val="651" w:hRule="atLeast"/>
        </w:trPr>
        <w:tc>
          <w:tcPr>
            <w:tcW w:w="8100" w:type="dxa"/>
            <w:tcBorders>
              <w:start w:val="single" w:sz="4" w:space="0" w:color="000000"/>
              <w:bottom w:val="single" w:sz="4" w:space="0" w:color="000000"/>
            </w:tcBorders>
            <w:shd w:fill="FBF2B7" w:val="clea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sz w:val="22"/>
              </w:rPr>
            </w:pPr>
            <w:r>
              <w:rPr>
                <w:rFonts w:cs="Arial"/>
              </w:rPr>
              <w:t xml:space="preserve">Prix d’un forfait déplacement aller/retour pour une réunion ou visite supplémentaire – </w:t>
            </w:r>
            <w:r>
              <w:rPr>
                <w:rFonts w:cs="Arial"/>
              </w:rPr>
              <w:t>article 18.1.2 du CCAP</w:t>
            </w:r>
          </w:p>
        </w:tc>
        <w:tc>
          <w:tcPr>
            <w:tcW w:w="6525" w:type="dxa"/>
            <w:tcBorders>
              <w:start w:val="single" w:sz="4" w:space="0" w:color="000000"/>
              <w:bottom w:val="single" w:sz="4" w:space="0" w:color="000000"/>
              <w:end w:val="single" w:sz="4" w:space="0" w:color="000000"/>
            </w:tcBorders>
            <w:vAlign w:val="center"/>
          </w:tcPr>
          <w:p>
            <w:pPr>
              <w:pStyle w:val="Contenudetableau"/>
              <w:bidi w:val="0"/>
              <w:spacing w:before="57" w:after="0"/>
              <w:jc w:val="center"/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</w:rPr>
            </w:r>
          </w:p>
        </w:tc>
      </w:tr>
    </w:tbl>
    <w:p>
      <w:pPr>
        <w:pStyle w:val="Normal"/>
        <w:tabs>
          <w:tab w:val="clear" w:pos="706"/>
          <w:tab w:val="right" w:pos="9468" w:leader="dot"/>
        </w:tabs>
        <w:bidi w:val="0"/>
        <w:ind w:hanging="0" w:start="0" w:end="0"/>
        <w:jc w:val="start"/>
        <w:rPr/>
      </w:pPr>
      <w:r>
        <w:rPr/>
      </w:r>
    </w:p>
    <w:p>
      <w:pPr>
        <w:pStyle w:val="TOC3"/>
        <w:bidi w:val="0"/>
        <w:spacing w:before="57" w:after="57"/>
        <w:ind w:hanging="0" w:start="170" w:end="0"/>
        <w:jc w:val="end"/>
        <w:rPr/>
      </w:pPr>
      <w:r>
        <w:rPr/>
      </w:r>
    </w:p>
    <w:p>
      <w:pPr>
        <w:pStyle w:val="Normal"/>
        <w:pageBreakBefore w:val="false"/>
        <w:tabs>
          <w:tab w:val="clear" w:pos="706"/>
          <w:tab w:val="right" w:pos="9468" w:leader="dot"/>
        </w:tabs>
        <w:bidi w:val="0"/>
        <w:ind w:hanging="0" w:start="0" w:end="0"/>
        <w:jc w:val="center"/>
        <w:rPr>
          <w:sz w:val="18"/>
          <w:szCs w:val="18"/>
        </w:rPr>
      </w:pPr>
      <w:r>
        <w:rPr>
          <w:sz w:val="18"/>
          <w:szCs w:val="18"/>
        </w:rPr>
      </w:r>
    </w:p>
    <w:sectPr>
      <w:headerReference w:type="default" r:id="rId3"/>
      <w:headerReference w:type="first" r:id="rId4"/>
      <w:footerReference w:type="default" r:id="rId5"/>
      <w:type w:val="nextPage"/>
      <w:pgSz w:orient="landscape" w:w="23811" w:h="16838"/>
      <w:pgMar w:left="567" w:right="567" w:gutter="0" w:header="227" w:top="771" w:footer="227" w:bottom="397"/>
      <w:pgNumType w:fmt="decimal"/>
      <w:formProt w:val="false"/>
      <w:textDirection w:val="lrTb"/>
      <w:docGrid w:type="default" w:linePitch="600" w:charSpace="409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Wingdings">
    <w:charset w:val="02"/>
    <w:family w:val="auto"/>
    <w:pitch w:val="variable"/>
  </w:font>
  <w:font w:name="Courier New">
    <w:charset w:val="00" w:characterSet="windows-1252"/>
    <w:family w:val="modern"/>
    <w:pitch w:val="fixed"/>
  </w:font>
  <w:font w:name="OpenSymbol">
    <w:altName w:val="Arial Unicode MS"/>
    <w:charset w:val="00" w:characterSet="windows-1252"/>
    <w:family w:val="auto"/>
    <w:pitch w:val="default"/>
  </w:font>
  <w:font w:name="Verdana">
    <w:charset w:val="00" w:characterSet="windows-1252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pBdr/>
      <w:bidi w:val="0"/>
      <w:spacing w:before="57" w:after="0"/>
      <w:jc w:val="end"/>
      <w:rPr/>
    </w:pPr>
    <w:r>
      <w:rPr/>
      <w:fldChar w:fldCharType="begin"/>
    </w:r>
    <w:r>
      <w:rPr/>
      <w:instrText xml:space="preserve"> DOCVARIABLE TitreDocument </w:instrText>
    </w:r>
    <w:r>
      <w:rPr/>
      <w:fldChar w:fldCharType="separate"/>
    </w:r>
    <w:r>
      <w:rPr/>
    </w:r>
    <w:r>
      <w:rPr/>
      <w:fldChar w:fldCharType="end"/>
    </w:r>
    <w:r>
      <w:rPr/>
      <w:fldChar w:fldCharType="begin"/>
    </w:r>
    <w:r>
      <w:rPr/>
      <w:instrText xml:space="preserve"> DOCVARIABLE TitreDocument </w:instrText>
    </w:r>
    <w:r>
      <w:rPr/>
      <w:fldChar w:fldCharType="separate"/>
    </w:r>
    <w:r>
      <w:rPr/>
    </w:r>
    <w:r>
      <w:rPr/>
      <w:fldChar w:fldCharType="end"/>
    </w:r>
    <w:r>
      <w:rPr/>
      <w:t xml:space="preserve">BPU </w:t>
    </w:r>
    <w:r>
      <w:rPr/>
      <w:t xml:space="preserve">- </w:t>
    </w:r>
    <w:r>
      <w:rPr>
        <w:b w:val="false"/>
        <w:bCs w:val="false"/>
        <w:sz w:val="18"/>
        <w:lang w:val="zxx" w:eastAsia="zxx" w:bidi="zxx"/>
      </w:rPr>
      <w:t>CTC</w:t>
    </w:r>
    <w:r>
      <w:rPr/>
      <w:t xml:space="preserve"> – Plate-forme régionale achat (PFRA) Nouvelle-Aquitaine</w:t>
    </w:r>
    <w:r>
      <w:rPr/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2</w:t>
    </w:r>
    <w:r>
      <w:rPr/>
      <w:fldChar w:fldCharType="end"/>
    </w:r>
    <w:r>
      <w:rPr/>
      <w:t>/</w:t>
    </w:r>
    <w:r>
      <w:rPr/>
      <w:fldChar w:fldCharType="begin"/>
    </w:r>
    <w:r>
      <w:rPr/>
      <w:instrText xml:space="preserve"> NUMPAGES </w:instrText>
    </w:r>
    <w:r>
      <w:rPr/>
      <w:fldChar w:fldCharType="separate"/>
    </w:r>
    <w:r>
      <w:rPr/>
      <w:t>3</w:t>
    </w:r>
    <w:r>
      <w:rPr/>
      <w:fldChar w:fldCharType="end"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spacing w:before="57" w:after="0"/>
      <w:jc w:val="center"/>
      <w:rPr/>
    </w:pPr>
    <w:r>
      <w:rPr/>
      <w:drawing>
        <wp:anchor behindDoc="0" distT="0" distB="0" distL="0" distR="0" simplePos="0" locked="0" layoutInCell="0" allowOverlap="1" relativeHeight="2">
          <wp:simplePos x="0" y="0"/>
          <wp:positionH relativeFrom="column">
            <wp:posOffset>-252095</wp:posOffset>
          </wp:positionH>
          <wp:positionV relativeFrom="paragraph">
            <wp:posOffset>-10160</wp:posOffset>
          </wp:positionV>
          <wp:extent cx="2159635" cy="1356360"/>
          <wp:effectExtent l="0" t="0" r="0" b="0"/>
          <wp:wrapSquare wrapText="largest"/>
          <wp:docPr id="1" name="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2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" t="-2" r="-1" b="-2"/>
                  <a:stretch>
                    <a:fillRect/>
                  </a:stretch>
                </pic:blipFill>
                <pic:spPr bwMode="auto">
                  <a:xfrm>
                    <a:off x="0" y="0"/>
                    <a:ext cx="2159635" cy="1356360"/>
                  </a:xfrm>
                  <a:prstGeom prst="rect">
                    <a:avLst/>
                  </a:prstGeom>
                  <a:solidFill>
                    <a:srgbClr val="ffffff"/>
                  </a:solidFill>
                </pic:spPr>
              </pic:pic>
            </a:graphicData>
          </a:graphic>
        </wp:anchor>
      </w:drawing>
    </w:r>
  </w:p>
  <w:p>
    <w:pPr>
      <w:pStyle w:val="Normal"/>
      <w:tabs>
        <w:tab w:val="clear" w:pos="706"/>
        <w:tab w:val="center" w:pos="8365" w:leader="none"/>
      </w:tabs>
      <w:bidi w:val="0"/>
      <w:spacing w:before="57" w:after="0"/>
      <w:jc w:val="end"/>
      <w:textAlignment w:val="center"/>
      <w:rPr/>
    </w:pPr>
    <w:r>
      <w:rPr>
        <w:rFonts w:eastAsia="Times New Roman" w:cs="Arial" w:ascii="Arial" w:hAnsi="Arial"/>
        <w:b/>
        <w:bCs/>
        <w:color w:val="000000"/>
        <w:sz w:val="20"/>
        <w:szCs w:val="20"/>
        <w:lang w:eastAsia="zh-CN"/>
      </w:rPr>
      <w:t>Secr</w:t>
    </w:r>
    <w:r>
      <w:rPr>
        <w:rFonts w:eastAsia="Times New Roman" w:cs="Arial" w:ascii="Arial" w:hAnsi="Arial"/>
        <w:b/>
        <w:bCs/>
        <w:color w:val="000000"/>
        <w:sz w:val="20"/>
        <w:szCs w:val="20"/>
        <w:lang w:val="zxx" w:eastAsia="zh-CN" w:bidi="zxx"/>
      </w:rPr>
      <w:t>étariat général pour les affaires régionales</w:t>
    </w:r>
  </w:p>
  <w:p>
    <w:pPr>
      <w:pStyle w:val="Normal"/>
      <w:tabs>
        <w:tab w:val="clear" w:pos="706"/>
        <w:tab w:val="center" w:pos="8365" w:leader="none"/>
      </w:tabs>
      <w:bidi w:val="0"/>
      <w:spacing w:before="57" w:after="0"/>
      <w:jc w:val="end"/>
      <w:textAlignment w:val="center"/>
      <w:rPr>
        <w:rFonts w:ascii="Arial" w:hAnsi="Arial" w:eastAsia="Times New Roman" w:cs="Arial"/>
        <w:color w:val="000000"/>
        <w:sz w:val="20"/>
        <w:szCs w:val="20"/>
        <w:lang w:val="zxx" w:eastAsia="zh-CN" w:bidi="zxx"/>
      </w:rPr>
    </w:pPr>
    <w:r>
      <w:rPr>
        <w:rFonts w:eastAsia="Times New Roman" w:cs="Arial" w:ascii="Arial" w:hAnsi="Arial"/>
        <w:color w:val="000000"/>
        <w:sz w:val="20"/>
        <w:szCs w:val="20"/>
        <w:lang w:val="zxx" w:eastAsia="zh-CN" w:bidi="zxx"/>
      </w:rPr>
      <w:t>Plateforme régionale des achats</w: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bidi w:val="0"/>
      <w:spacing w:before="57" w:after="0"/>
      <w:jc w:val="cent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/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pStyle w:val="Heading1"/>
      <w:suff w:val="space"/>
      <w:lvlText w:val="Article %1 - "/>
      <w:lvlJc w:val="start"/>
      <w:pPr>
        <w:tabs>
          <w:tab w:val="num" w:pos="0"/>
        </w:tabs>
        <w:ind w:start="0" w:firstLine="283"/>
      </w:pPr>
    </w:lvl>
    <w:lvl w:ilvl="1">
      <w:start w:val="1"/>
      <w:numFmt w:val="decimal"/>
      <w:pStyle w:val="Heading2"/>
      <w:suff w:val="space"/>
      <w:lvlText w:val="%1.%2 "/>
      <w:lvlJc w:val="start"/>
      <w:pPr>
        <w:tabs>
          <w:tab w:val="num" w:pos="0"/>
        </w:tabs>
        <w:ind w:start="0" w:firstLine="283"/>
      </w:pPr>
    </w:lvl>
    <w:lvl w:ilvl="2">
      <w:start w:val="1"/>
      <w:numFmt w:val="decimal"/>
      <w:pStyle w:val="Heading3"/>
      <w:suff w:val="space"/>
      <w:lvlText w:val="%1.%2.%3 "/>
      <w:lvlJc w:val="start"/>
      <w:pPr>
        <w:tabs>
          <w:tab w:val="num" w:pos="0"/>
        </w:tabs>
        <w:ind w:start="0" w:firstLine="283"/>
      </w:pPr>
    </w:lvl>
    <w:lvl w:ilvl="3">
      <w:start w:val="1"/>
      <w:numFmt w:val="decimal"/>
      <w:pStyle w:val="Heading4"/>
      <w:suff w:val="space"/>
      <w:lvlText w:val="%1.%2.%3.%4 "/>
      <w:lvlJc w:val="start"/>
      <w:pPr>
        <w:tabs>
          <w:tab w:val="num" w:pos="0"/>
        </w:tabs>
        <w:ind w:start="0" w:firstLine="283"/>
      </w:pPr>
    </w:lvl>
    <w:lvl w:ilvl="4">
      <w:start w:val="1"/>
      <w:numFmt w:val="decimal"/>
      <w:pStyle w:val="Heading5"/>
      <w:suff w:val="space"/>
      <w:lvlText w:val="%1.%2.%3.%4.%5 "/>
      <w:lvlJc w:val="start"/>
      <w:pPr>
        <w:tabs>
          <w:tab w:val="num" w:pos="0"/>
        </w:tabs>
        <w:ind w:start="0" w:firstLine="283"/>
      </w:pPr>
    </w:lvl>
    <w:lvl w:ilvl="5">
      <w:start w:val="1"/>
      <w:numFmt w:val="decimal"/>
      <w:pStyle w:val="Heading6"/>
      <w:suff w:val="space"/>
      <w:lvlText w:val="%1.%2.%3.%4.%5.%6 "/>
      <w:lvlJc w:val="start"/>
      <w:pPr>
        <w:tabs>
          <w:tab w:val="num" w:pos="0"/>
        </w:tabs>
        <w:ind w:start="1152" w:hanging="1152"/>
      </w:pPr>
    </w:lvl>
    <w:lvl w:ilvl="6">
      <w:start w:val="1"/>
      <w:numFmt w:val="decimal"/>
      <w:pStyle w:val="Heading7"/>
      <w:suff w:val="space"/>
      <w:lvlText w:val="%1.%2.%3.%4.%5.%6.%7"/>
      <w:lvlJc w:val="start"/>
      <w:pPr>
        <w:tabs>
          <w:tab w:val="num" w:pos="0"/>
        </w:tabs>
        <w:ind w:start="1296" w:hanging="1296"/>
      </w:pPr>
    </w:lvl>
    <w:lvl w:ilvl="7">
      <w:start w:val="1"/>
      <w:numFmt w:val="decimal"/>
      <w:pStyle w:val="Heading8"/>
      <w:suff w:val="space"/>
      <w:lvlText w:val="%1.%2.%3.%4.%5.%6.%7.%8"/>
      <w:lvlJc w:val="start"/>
      <w:pPr>
        <w:tabs>
          <w:tab w:val="num" w:pos="0"/>
        </w:tabs>
        <w:ind w:start="1440" w:hanging="1440"/>
      </w:pPr>
    </w:lvl>
    <w:lvl w:ilvl="8">
      <w:start w:val="1"/>
      <w:numFmt w:val="decimal"/>
      <w:pStyle w:val="Heading9"/>
      <w:suff w:val="space"/>
      <w:lvlText w:val="%1.%2.%3.%4.%5.%6.%7.%8.%9"/>
      <w:lvlJc w:val="start"/>
      <w:pPr>
        <w:tabs>
          <w:tab w:val="num" w:pos="0"/>
        </w:tabs>
        <w:ind w:start="1584" w:hanging="1584"/>
      </w:pPr>
    </w:lvl>
  </w:abstractNum>
  <w:num w:numId="1">
    <w:abstractNumId w:val="1"/>
  </w:num>
</w:numbering>
</file>

<file path=word/settings.xml><?xml version="1.0" encoding="utf-8"?>
<w:settings xmlns:w="http://schemas.openxmlformats.org/wordprocessingml/2006/main">
  <w:zoom w:percent="80"/>
  <w:defaultTabStop w:val="706"/>
  <w:autoHyphenation w:val="true"/>
  <w:hyphenationZone w:val="0"/>
  <w:compat>
    <w:compatSetting w:name="compatibilityMode" w:uri="http://schemas.microsoft.com/office/word" w:val="15"/>
    <w:compatSetting w:name="useWord2013TrackBottomHyphenation" w:uri="http://schemas.microsoft.com/office/word" w:val="1"/>
    <w:compatSetting w:name="allowHyphenationAtTrackBottom" w:uri="http://schemas.microsoft.com/office/word" w:val="1"/>
  </w:compat>
  <w:docVars>
    <w:docVar w:name="TitreDocument" w:val=""/>
    <w:docVar w:name="IntituleConsultation" w:val="Mission de coordination en matière de sécurité et protection de la santé (SPS) de 2ème et 3ème catégorie au profit des services et établissements publics de l'Etat en région Nouvelle-Aquitaine"/>
    <w:docVar w:name="PouvoirAdjudicateur" w:val="Ministère de l'Intérieur"/>
    <w:docVar w:name="Direction" w:val="[Direction]"/>
    <w:docVar w:name="TypeDocument" w:val="CAHIER DES CLAUSES ADMINISTRATIVES PARTICULIERES"/>
    <w:docVar w:name="NumeroConsultation" w:val="2017-PFRANA-04"/>
    <w:docVar w:name="ProcedurePassation" w:val="Appel d’offres ouvert"/>
    <w:docVar w:name="dateLimite" w:val="ND"/>
    <w:docVar w:name="dateLimiteTitre" w:val="Date limite de remise des plis"/>
    <w:docVar w:name="DirectionService" w:val="Nouvelle Aquitaine"/>
  </w:docVars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kern w:val="2"/>
        <w:sz w:val="24"/>
        <w:szCs w:val="24"/>
        <w:lang w:val="fr-FR" w:eastAsia="ja-JP" w:bidi="fa-IR"/>
      </w:rPr>
    </w:rPrDefault>
    <w:pPrDefault>
      <w:pPr>
        <w:suppressAutoHyphens w:val="true"/>
      </w:pPr>
    </w:pPrDefault>
  </w:docDefaults>
  <w:style w:type="paragraph" w:styleId="Normal">
    <w:name w:val="Normal"/>
    <w:autoRedefine/>
    <w:qFormat/>
    <w:pPr>
      <w:widowControl w:val="false"/>
      <w:kinsoku w:val="true"/>
      <w:overflowPunct w:val="true"/>
      <w:autoSpaceDE w:val="true"/>
      <w:bidi w:val="0"/>
      <w:spacing w:before="57" w:after="0"/>
      <w:jc w:val="end"/>
      <w:textAlignment w:val="center"/>
    </w:pPr>
    <w:rPr>
      <w:rFonts w:ascii="Arial" w:hAnsi="Arial" w:eastAsia="Andale Sans UI" w:cs="Tahoma"/>
      <w:b w:val="false"/>
      <w:bCs w:val="false"/>
      <w:color w:val="auto"/>
      <w:kern w:val="2"/>
      <w:sz w:val="20"/>
      <w:szCs w:val="24"/>
      <w:lang w:val="zxx" w:eastAsia="zxx" w:bidi="zxx"/>
    </w:rPr>
  </w:style>
  <w:style w:type="paragraph" w:styleId="Heading1">
    <w:name w:val="heading 1"/>
    <w:basedOn w:val="Normal"/>
    <w:next w:val="BodyText"/>
    <w:autoRedefine/>
    <w:qFormat/>
    <w:pPr>
      <w:keepNext w:val="true"/>
      <w:keepLines/>
      <w:numPr>
        <w:ilvl w:val="0"/>
        <w:numId w:val="1"/>
      </w:numPr>
      <w:pBdr>
        <w:top w:val="single" w:sz="8" w:space="1" w:color="CCCCCC"/>
        <w:left w:val="single" w:sz="8" w:space="1" w:color="CCCCCC"/>
        <w:bottom w:val="single" w:sz="8" w:space="1" w:color="CCCCCC"/>
        <w:right w:val="single" w:sz="8" w:space="1" w:color="CCCCCC"/>
      </w:pBdr>
      <w:shd w:fill="CCCCCC" w:val="clear"/>
      <w:tabs>
        <w:tab w:val="clear" w:pos="706"/>
      </w:tabs>
      <w:spacing w:before="113" w:after="0"/>
      <w:ind w:hanging="0" w:start="0" w:end="0"/>
      <w:jc w:val="start"/>
      <w:outlineLvl w:val="0"/>
    </w:pPr>
    <w:rPr>
      <w:rFonts w:ascii="Arial" w:hAnsi="Arial" w:eastAsia="MS PMincho" w:cs="Tahoma"/>
      <w:b/>
      <w:bCs/>
      <w:sz w:val="20"/>
      <w:szCs w:val="48"/>
    </w:rPr>
  </w:style>
  <w:style w:type="paragraph" w:styleId="Heading2">
    <w:name w:val="heading 2"/>
    <w:basedOn w:val="Normal"/>
    <w:next w:val="BodyText"/>
    <w:autoRedefine/>
    <w:qFormat/>
    <w:pPr>
      <w:keepNext w:val="true"/>
      <w:keepLines/>
      <w:numPr>
        <w:ilvl w:val="1"/>
        <w:numId w:val="1"/>
      </w:numPr>
      <w:pBdr>
        <w:left w:val="single" w:sz="8" w:space="0" w:color="CCCCCC"/>
        <w:bottom w:val="single" w:sz="8" w:space="0" w:color="CCCCCC"/>
      </w:pBdr>
      <w:tabs>
        <w:tab w:val="clear" w:pos="706"/>
      </w:tabs>
      <w:spacing w:before="227" w:after="0"/>
      <w:jc w:val="start"/>
      <w:outlineLvl w:val="1"/>
    </w:pPr>
    <w:rPr>
      <w:rFonts w:ascii="Arial" w:hAnsi="Arial" w:eastAsia="MS PMincho" w:cs="Tahoma"/>
      <w:b/>
      <w:bCs/>
      <w:sz w:val="20"/>
      <w:szCs w:val="36"/>
    </w:rPr>
  </w:style>
  <w:style w:type="paragraph" w:styleId="Heading3">
    <w:name w:val="heading 3"/>
    <w:basedOn w:val="Normal"/>
    <w:next w:val="BodyText"/>
    <w:autoRedefine/>
    <w:qFormat/>
    <w:pPr>
      <w:keepNext w:val="true"/>
      <w:keepLines/>
      <w:numPr>
        <w:ilvl w:val="2"/>
        <w:numId w:val="1"/>
      </w:numPr>
      <w:pBdr/>
      <w:spacing w:before="227" w:after="0"/>
      <w:ind w:firstLine="567" w:start="0" w:end="0"/>
      <w:outlineLvl w:val="2"/>
    </w:pPr>
    <w:rPr>
      <w:rFonts w:ascii="Arial" w:hAnsi="Arial" w:eastAsia="MS PMincho" w:cs="Tahoma"/>
      <w:b/>
      <w:bCs/>
      <w:i w:val="false"/>
      <w:sz w:val="20"/>
      <w:szCs w:val="28"/>
      <w:u w:val="none"/>
    </w:rPr>
  </w:style>
  <w:style w:type="paragraph" w:styleId="Heading4">
    <w:name w:val="heading 4"/>
    <w:basedOn w:val="Normal"/>
    <w:next w:val="BodyText"/>
    <w:autoRedefine/>
    <w:qFormat/>
    <w:pPr>
      <w:keepNext w:val="true"/>
      <w:keepLines/>
      <w:numPr>
        <w:ilvl w:val="3"/>
        <w:numId w:val="1"/>
      </w:numPr>
      <w:tabs>
        <w:tab w:val="clear" w:pos="706"/>
      </w:tabs>
      <w:spacing w:before="283" w:after="57"/>
      <w:ind w:firstLine="737" w:start="0" w:end="0"/>
      <w:outlineLvl w:val="3"/>
    </w:pPr>
    <w:rPr>
      <w:b w:val="false"/>
      <w:bCs/>
      <w:i w:val="false"/>
      <w:iCs/>
      <w:sz w:val="24"/>
      <w:szCs w:val="20"/>
      <w:u w:val="none"/>
    </w:rPr>
  </w:style>
  <w:style w:type="paragraph" w:styleId="Heading5">
    <w:name w:val="heading 5"/>
    <w:basedOn w:val="Normal"/>
    <w:next w:val="BodyText"/>
    <w:autoRedefine/>
    <w:qFormat/>
    <w:pPr>
      <w:keepNext w:val="true"/>
      <w:keepLines/>
      <w:numPr>
        <w:ilvl w:val="4"/>
        <w:numId w:val="1"/>
      </w:numPr>
      <w:tabs>
        <w:tab w:val="clear" w:pos="706"/>
      </w:tabs>
      <w:spacing w:before="283" w:after="57"/>
      <w:ind w:firstLine="794" w:start="0" w:end="0"/>
      <w:outlineLvl w:val="4"/>
    </w:pPr>
    <w:rPr>
      <w:b w:val="false"/>
      <w:bCs/>
      <w:i w:val="false"/>
      <w:sz w:val="22"/>
      <w:szCs w:val="20"/>
      <w:u w:val="none"/>
    </w:rPr>
  </w:style>
  <w:style w:type="paragraph" w:styleId="Heading6">
    <w:name w:val="heading 6"/>
    <w:basedOn w:val="Titre"/>
    <w:next w:val="BodyText"/>
    <w:qFormat/>
    <w:pPr>
      <w:numPr>
        <w:ilvl w:val="5"/>
        <w:numId w:val="1"/>
      </w:numPr>
      <w:pBdr>
        <w:top w:val="nil"/>
        <w:left w:val="nil"/>
        <w:bottom w:val="nil"/>
        <w:right w:val="nil"/>
      </w:pBdr>
      <w:spacing w:before="283" w:after="283"/>
      <w:ind w:firstLine="907" w:start="0" w:end="0"/>
      <w:jc w:val="both"/>
      <w:outlineLvl w:val="5"/>
    </w:pPr>
    <w:rPr>
      <w:b w:val="false"/>
      <w:bCs/>
      <w:sz w:val="22"/>
      <w:szCs w:val="21"/>
    </w:rPr>
  </w:style>
  <w:style w:type="paragraph" w:styleId="Heading7">
    <w:name w:val="heading 7"/>
    <w:basedOn w:val="Titre"/>
    <w:next w:val="BodyText"/>
    <w:qFormat/>
    <w:pPr>
      <w:numPr>
        <w:ilvl w:val="6"/>
        <w:numId w:val="1"/>
      </w:numPr>
      <w:pBdr>
        <w:top w:val="nil"/>
        <w:left w:val="nil"/>
        <w:bottom w:val="nil"/>
        <w:right w:val="nil"/>
      </w:pBdr>
      <w:spacing w:before="283" w:after="57"/>
      <w:ind w:firstLine="1020" w:start="0" w:end="0"/>
      <w:jc w:val="both"/>
      <w:outlineLvl w:val="6"/>
    </w:pPr>
    <w:rPr>
      <w:b w:val="false"/>
      <w:bCs/>
      <w:sz w:val="22"/>
      <w:szCs w:val="21"/>
    </w:rPr>
  </w:style>
  <w:style w:type="paragraph" w:styleId="Heading8">
    <w:name w:val="heading 8"/>
    <w:basedOn w:val="Titre"/>
    <w:next w:val="BodyText"/>
    <w:qFormat/>
    <w:pPr>
      <w:numPr>
        <w:ilvl w:val="7"/>
        <w:numId w:val="1"/>
      </w:numPr>
      <w:pBdr>
        <w:top w:val="nil"/>
        <w:left w:val="nil"/>
        <w:bottom w:val="nil"/>
        <w:right w:val="nil"/>
      </w:pBdr>
      <w:spacing w:before="283" w:after="57"/>
      <w:ind w:firstLine="1134" w:start="0" w:end="0"/>
      <w:jc w:val="both"/>
      <w:outlineLvl w:val="7"/>
    </w:pPr>
    <w:rPr>
      <w:b w:val="false"/>
      <w:bCs/>
      <w:sz w:val="21"/>
      <w:szCs w:val="21"/>
    </w:rPr>
  </w:style>
  <w:style w:type="paragraph" w:styleId="Heading9">
    <w:name w:val="heading 9"/>
    <w:basedOn w:val="Titre"/>
    <w:next w:val="BodyText"/>
    <w:qFormat/>
    <w:pPr>
      <w:numPr>
        <w:ilvl w:val="8"/>
        <w:numId w:val="1"/>
      </w:numPr>
      <w:pBdr>
        <w:top w:val="nil"/>
        <w:left w:val="nil"/>
        <w:bottom w:val="nil"/>
        <w:right w:val="nil"/>
      </w:pBdr>
      <w:spacing w:before="283" w:after="57"/>
      <w:ind w:firstLine="1247" w:start="0" w:end="0"/>
      <w:jc w:val="both"/>
      <w:outlineLvl w:val="8"/>
    </w:pPr>
    <w:rPr>
      <w:b w:val="false"/>
      <w:bCs/>
      <w:sz w:val="21"/>
      <w:szCs w:val="21"/>
    </w:rPr>
  </w:style>
  <w:style w:type="character" w:styleId="Hyperlink">
    <w:name w:val="Hyperlink"/>
    <w:rPr>
      <w:color w:val="000080"/>
      <w:u w:val="single"/>
      <w:lang w:val="zxx" w:eastAsia="zxx" w:bidi="zxx"/>
    </w:rPr>
  </w:style>
  <w:style w:type="character" w:styleId="RTFNum21">
    <w:name w:val="RTF_Num 2 1"/>
    <w:qFormat/>
    <w:rPr>
      <w:rFonts w:ascii="Wingdings" w:hAnsi="Wingdings" w:eastAsia="Wingdings" w:cs="Wingdings"/>
    </w:rPr>
  </w:style>
  <w:style w:type="character" w:styleId="RTFNum31">
    <w:name w:val="RTF_Num 3 1"/>
    <w:qFormat/>
    <w:rPr>
      <w:rFonts w:cs="Times New Roman"/>
    </w:rPr>
  </w:style>
  <w:style w:type="character" w:styleId="RTFNum32">
    <w:name w:val="RTF_Num 3 2"/>
    <w:qFormat/>
    <w:rPr>
      <w:rFonts w:cs="Times New Roman"/>
    </w:rPr>
  </w:style>
  <w:style w:type="character" w:styleId="RTFNum33">
    <w:name w:val="RTF_Num 3 3"/>
    <w:qFormat/>
    <w:rPr>
      <w:rFonts w:cs="Times New Roman"/>
    </w:rPr>
  </w:style>
  <w:style w:type="character" w:styleId="RTFNum34">
    <w:name w:val="RTF_Num 3 4"/>
    <w:qFormat/>
    <w:rPr>
      <w:rFonts w:cs="Times New Roman"/>
    </w:rPr>
  </w:style>
  <w:style w:type="character" w:styleId="RTFNum35">
    <w:name w:val="RTF_Num 3 5"/>
    <w:qFormat/>
    <w:rPr>
      <w:rFonts w:cs="Times New Roman"/>
    </w:rPr>
  </w:style>
  <w:style w:type="character" w:styleId="RTFNum36">
    <w:name w:val="RTF_Num 3 6"/>
    <w:qFormat/>
    <w:rPr>
      <w:rFonts w:cs="Times New Roman"/>
    </w:rPr>
  </w:style>
  <w:style w:type="character" w:styleId="RTFNum37">
    <w:name w:val="RTF_Num 3 7"/>
    <w:qFormat/>
    <w:rPr>
      <w:rFonts w:cs="Times New Roman"/>
    </w:rPr>
  </w:style>
  <w:style w:type="character" w:styleId="RTFNum38">
    <w:name w:val="RTF_Num 3 8"/>
    <w:qFormat/>
    <w:rPr>
      <w:rFonts w:cs="Times New Roman"/>
    </w:rPr>
  </w:style>
  <w:style w:type="character" w:styleId="RTFNum39">
    <w:name w:val="RTF_Num 3 9"/>
    <w:qFormat/>
    <w:rPr>
      <w:rFonts w:cs="Times New Roman"/>
    </w:rPr>
  </w:style>
  <w:style w:type="character" w:styleId="RTFNum41">
    <w:name w:val="RTF_Num 4 1"/>
    <w:qFormat/>
    <w:rPr>
      <w:rFonts w:ascii="Wingdings" w:hAnsi="Wingdings" w:eastAsia="Wingdings" w:cs="Wingdings"/>
      <w:sz w:val="20"/>
      <w:szCs w:val="20"/>
    </w:rPr>
  </w:style>
  <w:style w:type="character" w:styleId="RTFNum42">
    <w:name w:val="RTF_Num 4 2"/>
    <w:qFormat/>
    <w:rPr>
      <w:rFonts w:ascii="Courier New" w:hAnsi="Courier New" w:eastAsia="Courier New" w:cs="Courier New"/>
    </w:rPr>
  </w:style>
  <w:style w:type="character" w:styleId="RTFNum43">
    <w:name w:val="RTF_Num 4 3"/>
    <w:qFormat/>
    <w:rPr>
      <w:rFonts w:ascii="Wingdings" w:hAnsi="Wingdings" w:eastAsia="Wingdings" w:cs="Wingdings"/>
    </w:rPr>
  </w:style>
  <w:style w:type="character" w:styleId="RTFNum44">
    <w:name w:val="RTF_Num 4 4"/>
    <w:qFormat/>
    <w:rPr>
      <w:rFonts w:ascii="Symbol" w:hAnsi="Symbol" w:eastAsia="Symbol" w:cs="Symbol"/>
    </w:rPr>
  </w:style>
  <w:style w:type="character" w:styleId="RTFNum45">
    <w:name w:val="RTF_Num 4 5"/>
    <w:qFormat/>
    <w:rPr>
      <w:rFonts w:ascii="Courier New" w:hAnsi="Courier New" w:eastAsia="Courier New" w:cs="Courier New"/>
    </w:rPr>
  </w:style>
  <w:style w:type="character" w:styleId="RTFNum46">
    <w:name w:val="RTF_Num 4 6"/>
    <w:qFormat/>
    <w:rPr>
      <w:rFonts w:ascii="Wingdings" w:hAnsi="Wingdings" w:eastAsia="Wingdings" w:cs="Wingdings"/>
    </w:rPr>
  </w:style>
  <w:style w:type="character" w:styleId="RTFNum47">
    <w:name w:val="RTF_Num 4 7"/>
    <w:qFormat/>
    <w:rPr>
      <w:rFonts w:ascii="Symbol" w:hAnsi="Symbol" w:eastAsia="Symbol" w:cs="Symbol"/>
    </w:rPr>
  </w:style>
  <w:style w:type="character" w:styleId="RTFNum48">
    <w:name w:val="RTF_Num 4 8"/>
    <w:qFormat/>
    <w:rPr>
      <w:rFonts w:ascii="Courier New" w:hAnsi="Courier New" w:eastAsia="Courier New" w:cs="Courier New"/>
    </w:rPr>
  </w:style>
  <w:style w:type="character" w:styleId="RTFNum49">
    <w:name w:val="RTF_Num 4 9"/>
    <w:qFormat/>
    <w:rPr>
      <w:rFonts w:ascii="Wingdings" w:hAnsi="Wingdings" w:eastAsia="Wingdings" w:cs="Wingdings"/>
    </w:rPr>
  </w:style>
  <w:style w:type="character" w:styleId="DefaultParagraphFont">
    <w:name w:val="Default Paragraph Font"/>
    <w:qFormat/>
    <w:rPr/>
  </w:style>
  <w:style w:type="character" w:styleId="Titre1Car">
    <w:name w:val="Titre 1 Car"/>
    <w:basedOn w:val="DefaultParagraphFont"/>
    <w:qFormat/>
    <w:rPr>
      <w:rFonts w:ascii="Arial" w:hAnsi="Arial" w:eastAsia="Arial" w:cs="Arial"/>
      <w:color w:val="808080"/>
      <w:sz w:val="24"/>
      <w:szCs w:val="24"/>
    </w:rPr>
  </w:style>
  <w:style w:type="character" w:styleId="Titre2Car">
    <w:name w:val="Titre 2 Car"/>
    <w:basedOn w:val="DefaultParagraphFont"/>
    <w:qFormat/>
    <w:rPr>
      <w:rFonts w:ascii="Arial" w:hAnsi="Arial" w:eastAsia="Arial" w:cs="Arial"/>
      <w:b/>
      <w:bCs/>
      <w:i/>
      <w:iCs/>
      <w:sz w:val="28"/>
      <w:szCs w:val="28"/>
    </w:rPr>
  </w:style>
  <w:style w:type="character" w:styleId="Titre3Car">
    <w:name w:val="Titre 3 Car"/>
    <w:basedOn w:val="DefaultParagraphFont"/>
    <w:qFormat/>
    <w:rPr>
      <w:rFonts w:ascii="Arial" w:hAnsi="Arial" w:eastAsia="Arial" w:cs="Arial"/>
      <w:b/>
      <w:bCs/>
      <w:sz w:val="26"/>
      <w:szCs w:val="26"/>
    </w:rPr>
  </w:style>
  <w:style w:type="character" w:styleId="CorpsdetexteCar">
    <w:name w:val="Corps de texte Car"/>
    <w:basedOn w:val="DefaultParagraphFont"/>
    <w:qFormat/>
    <w:rPr>
      <w:rFonts w:ascii="Arial" w:hAnsi="Arial" w:eastAsia="Arial" w:cs="Arial"/>
      <w:b/>
      <w:bCs/>
      <w:sz w:val="24"/>
      <w:szCs w:val="24"/>
    </w:rPr>
  </w:style>
  <w:style w:type="character" w:styleId="En-tteCar">
    <w:name w:val="En-tête Car"/>
    <w:basedOn w:val="DefaultParagraphFont"/>
    <w:qFormat/>
    <w:rPr>
      <w:rFonts w:ascii="Arial" w:hAnsi="Arial" w:eastAsia="Arial" w:cs="Arial"/>
      <w:sz w:val="24"/>
      <w:szCs w:val="24"/>
    </w:rPr>
  </w:style>
  <w:style w:type="character" w:styleId="Puces">
    <w:name w:val="Puces"/>
    <w:qFormat/>
    <w:rPr>
      <w:rFonts w:ascii="OpenSymbol" w:hAnsi="OpenSymbol" w:eastAsia="OpenSymbol" w:cs="OpenSymbol"/>
    </w:rPr>
  </w:style>
  <w:style w:type="character" w:styleId="Caractresdenumrotation">
    <w:name w:val="Caractères de numérotation"/>
    <w:qFormat/>
    <w:rPr/>
  </w:style>
  <w:style w:type="character" w:styleId="Strong">
    <w:name w:val="Strong"/>
    <w:qFormat/>
    <w:rPr>
      <w:b/>
      <w:bCs/>
    </w:rPr>
  </w:style>
  <w:style w:type="character" w:styleId="Sautdindex">
    <w:name w:val="Saut d'index"/>
    <w:qFormat/>
    <w:rPr/>
  </w:style>
  <w:style w:type="character" w:styleId="FollowedHyperlink">
    <w:name w:val="FollowedHyperlink"/>
    <w:rPr>
      <w:color w:val="800000"/>
      <w:u w:val="single"/>
      <w:lang w:val="zxx" w:eastAsia="zxx" w:bidi="zxx"/>
    </w:rPr>
  </w:style>
  <w:style w:type="character" w:styleId="Policepardfaut">
    <w:name w:val="Police par défaut"/>
    <w:qFormat/>
    <w:rPr/>
  </w:style>
  <w:style w:type="character" w:styleId="PageNumber">
    <w:name w:val="page number"/>
    <w:basedOn w:val="Policepardfaut"/>
    <w:rPr/>
  </w:style>
  <w:style w:type="paragraph" w:styleId="Titre">
    <w:name w:val="Titre"/>
    <w:basedOn w:val="Normal"/>
    <w:next w:val="BodyText"/>
    <w:autoRedefine/>
    <w:qFormat/>
    <w:pPr>
      <w:keepNext w:val="true"/>
      <w:pBdr>
        <w:top w:val="single" w:sz="20" w:space="1" w:color="666666"/>
        <w:left w:val="single" w:sz="20" w:space="1" w:color="666666"/>
        <w:bottom w:val="single" w:sz="20" w:space="1" w:color="666666"/>
        <w:right w:val="single" w:sz="20" w:space="1" w:color="666666"/>
      </w:pBdr>
      <w:tabs>
        <w:tab w:val="clear" w:pos="706"/>
      </w:tabs>
      <w:spacing w:before="567" w:after="567"/>
      <w:jc w:val="center"/>
    </w:pPr>
    <w:rPr>
      <w:rFonts w:ascii="Arial" w:hAnsi="Arial" w:eastAsia="Andale Sans UI" w:cs="Tahoma"/>
      <w:b/>
      <w:sz w:val="32"/>
      <w:szCs w:val="28"/>
    </w:rPr>
  </w:style>
  <w:style w:type="paragraph" w:styleId="BodyText">
    <w:name w:val="Body Text"/>
    <w:basedOn w:val="Normal"/>
    <w:autoRedefine/>
    <w:pPr>
      <w:keepLines/>
      <w:tabs>
        <w:tab w:val="clear" w:pos="706"/>
      </w:tabs>
      <w:spacing w:before="57" w:after="0"/>
      <w:jc w:val="center"/>
    </w:pPr>
    <w:rPr>
      <w:rFonts w:ascii="Arial" w:hAnsi="Arial"/>
      <w:sz w:val="20"/>
    </w:rPr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Tahoma"/>
    </w:rPr>
  </w:style>
  <w:style w:type="paragraph" w:styleId="Contenudetableau">
    <w:name w:val="Contenu de tableau"/>
    <w:basedOn w:val="Normal"/>
    <w:qFormat/>
    <w:pPr>
      <w:suppressLineNumbers/>
    </w:pPr>
    <w:rPr>
      <w:sz w:val="17"/>
    </w:rPr>
  </w:style>
  <w:style w:type="paragraph" w:styleId="Titredetableau">
    <w:name w:val="Titre de tableau"/>
    <w:basedOn w:val="Contenudetableau"/>
    <w:qFormat/>
    <w:pPr>
      <w:suppressLineNumbers/>
      <w:jc w:val="center"/>
    </w:pPr>
    <w:rPr>
      <w:b/>
      <w:bCs/>
    </w:rPr>
  </w:style>
  <w:style w:type="paragraph" w:styleId="heading11">
    <w:name w:val="heading 11"/>
    <w:basedOn w:val="Normal"/>
    <w:next w:val="Normal"/>
    <w:qFormat/>
    <w:pPr>
      <w:keepNext w:val="true"/>
    </w:pPr>
    <w:rPr>
      <w:color w:val="808080"/>
      <w:sz w:val="36"/>
      <w:szCs w:val="36"/>
    </w:rPr>
  </w:style>
  <w:style w:type="paragraph" w:styleId="heading21">
    <w:name w:val="heading 21"/>
    <w:basedOn w:val="Normal"/>
    <w:next w:val="Normal"/>
    <w:qFormat/>
    <w:pPr>
      <w:keepNext w:val="true"/>
      <w:spacing w:before="240" w:after="60"/>
    </w:pPr>
    <w:rPr>
      <w:b/>
      <w:bCs/>
      <w:i/>
      <w:iCs/>
      <w:sz w:val="28"/>
      <w:szCs w:val="28"/>
    </w:rPr>
  </w:style>
  <w:style w:type="paragraph" w:styleId="heading31">
    <w:name w:val="heading 31"/>
    <w:basedOn w:val="Normal"/>
    <w:next w:val="Normal"/>
    <w:qFormat/>
    <w:pPr>
      <w:keepNext w:val="true"/>
      <w:spacing w:before="240" w:after="60"/>
    </w:pPr>
    <w:rPr>
      <w:b/>
      <w:bCs/>
      <w:sz w:val="26"/>
      <w:szCs w:val="26"/>
    </w:rPr>
  </w:style>
  <w:style w:type="paragraph" w:styleId="header1">
    <w:name w:val="header1"/>
    <w:basedOn w:val="Normal"/>
    <w:qFormat/>
    <w:pPr>
      <w:tabs>
        <w:tab w:val="clear" w:pos="706"/>
        <w:tab w:val="center" w:pos="4536" w:leader="none"/>
        <w:tab w:val="right" w:pos="9072" w:leader="none"/>
      </w:tabs>
    </w:pPr>
    <w:rPr/>
  </w:style>
  <w:style w:type="paragraph" w:styleId="numration1lamarge">
    <w:name w:val="énumération 1  à la marge"/>
    <w:basedOn w:val="Normal"/>
    <w:qFormat/>
    <w:pPr>
      <w:tabs>
        <w:tab w:val="clear" w:pos="706"/>
        <w:tab w:val="left" w:pos="360" w:leader="none"/>
      </w:tabs>
      <w:spacing w:before="0" w:after="120"/>
      <w:ind w:hanging="360" w:start="360" w:end="0"/>
      <w:jc w:val="both"/>
    </w:pPr>
    <w:rPr/>
  </w:style>
  <w:style w:type="paragraph" w:styleId="En-tteetpieddepage">
    <w:name w:val="En-tête et pied de page"/>
    <w:basedOn w:val="Normal"/>
    <w:qFormat/>
    <w:pPr>
      <w:suppressLineNumbers/>
      <w:tabs>
        <w:tab w:val="clear" w:pos="706"/>
        <w:tab w:val="center" w:pos="4819" w:leader="none"/>
        <w:tab w:val="right" w:pos="9638" w:leader="none"/>
      </w:tabs>
    </w:pPr>
    <w:rPr/>
  </w:style>
  <w:style w:type="paragraph" w:styleId="Header">
    <w:name w:val="header"/>
    <w:basedOn w:val="Normal"/>
    <w:pPr>
      <w:suppressLineNumbers/>
      <w:tabs>
        <w:tab w:val="clear" w:pos="706"/>
        <w:tab w:val="center" w:pos="4818" w:leader="none"/>
        <w:tab w:val="right" w:pos="9637" w:leader="none"/>
      </w:tabs>
    </w:pPr>
    <w:rPr/>
  </w:style>
  <w:style w:type="paragraph" w:styleId="IndexHeading">
    <w:name w:val="index heading"/>
    <w:basedOn w:val="Titre"/>
    <w:pPr>
      <w:suppressLineNumbers/>
      <w:ind w:hanging="0" w:start="0" w:end="0"/>
    </w:pPr>
    <w:rPr>
      <w:b/>
      <w:bCs/>
      <w:sz w:val="32"/>
      <w:szCs w:val="32"/>
    </w:rPr>
  </w:style>
  <w:style w:type="paragraph" w:styleId="TOCHeading">
    <w:name w:val="TOC Heading"/>
    <w:basedOn w:val="Titre"/>
    <w:qFormat/>
    <w:pPr>
      <w:pageBreakBefore/>
      <w:suppressLineNumbers/>
      <w:spacing w:before="0" w:after="283"/>
      <w:ind w:hanging="0" w:start="0" w:end="0"/>
    </w:pPr>
    <w:rPr>
      <w:b/>
      <w:bCs/>
      <w:sz w:val="32"/>
      <w:szCs w:val="32"/>
    </w:rPr>
  </w:style>
  <w:style w:type="paragraph" w:styleId="TOC1">
    <w:name w:val="toc 1"/>
    <w:basedOn w:val="Index"/>
    <w:autoRedefine/>
    <w:pPr>
      <w:tabs>
        <w:tab w:val="clear" w:pos="706"/>
        <w:tab w:val="right" w:pos="9637" w:leader="dot"/>
      </w:tabs>
      <w:spacing w:lineRule="auto" w:line="240" w:before="57" w:after="0"/>
      <w:ind w:hanging="0" w:start="0" w:end="0"/>
    </w:pPr>
    <w:rPr>
      <w:sz w:val="18"/>
    </w:rPr>
  </w:style>
  <w:style w:type="paragraph" w:styleId="TOC2">
    <w:name w:val="toc 2"/>
    <w:basedOn w:val="Index"/>
    <w:pPr>
      <w:tabs>
        <w:tab w:val="clear" w:pos="706"/>
      </w:tabs>
      <w:spacing w:before="57" w:after="0"/>
      <w:ind w:hanging="0" w:start="0" w:end="0"/>
    </w:pPr>
    <w:rPr>
      <w:sz w:val="18"/>
    </w:rPr>
  </w:style>
  <w:style w:type="paragraph" w:styleId="TOC3">
    <w:name w:val="toc 3"/>
    <w:basedOn w:val="Index"/>
    <w:pPr>
      <w:tabs>
        <w:tab w:val="clear" w:pos="706"/>
        <w:tab w:val="right" w:pos="9241" w:leader="dot"/>
      </w:tabs>
      <w:spacing w:before="57" w:after="57"/>
      <w:ind w:hanging="0" w:start="170" w:end="0"/>
    </w:pPr>
    <w:rPr/>
  </w:style>
  <w:style w:type="paragraph" w:styleId="TOC4">
    <w:name w:val="toc 4"/>
    <w:basedOn w:val="Index"/>
    <w:pPr>
      <w:tabs>
        <w:tab w:val="clear" w:pos="706"/>
        <w:tab w:val="right" w:pos="9128" w:leader="dot"/>
      </w:tabs>
      <w:spacing w:before="57" w:after="57"/>
      <w:ind w:hanging="0" w:start="340" w:end="0"/>
    </w:pPr>
    <w:rPr/>
  </w:style>
  <w:style w:type="paragraph" w:styleId="TOC5">
    <w:name w:val="toc 5"/>
    <w:basedOn w:val="Index"/>
    <w:pPr>
      <w:tabs>
        <w:tab w:val="clear" w:pos="706"/>
        <w:tab w:val="right" w:pos="9015" w:leader="dot"/>
      </w:tabs>
      <w:spacing w:before="57" w:after="57"/>
      <w:ind w:hanging="0" w:start="510" w:end="0"/>
    </w:pPr>
    <w:rPr/>
  </w:style>
  <w:style w:type="paragraph" w:styleId="Indexpersonnalis1">
    <w:name w:val="Index personnalisé 1"/>
    <w:basedOn w:val="Index"/>
    <w:qFormat/>
    <w:pPr>
      <w:tabs>
        <w:tab w:val="clear" w:pos="706"/>
        <w:tab w:val="right" w:pos="9637" w:leader="dot"/>
      </w:tabs>
      <w:spacing w:before="0" w:after="0"/>
      <w:ind w:hanging="0" w:start="0" w:end="0"/>
    </w:pPr>
    <w:rPr/>
  </w:style>
  <w:style w:type="paragraph" w:styleId="Footer">
    <w:name w:val="footer"/>
    <w:basedOn w:val="Normal"/>
    <w:pPr>
      <w:suppressLineNumbers/>
      <w:pBdr>
        <w:top w:val="single" w:sz="2" w:space="0" w:color="000000"/>
      </w:pBdr>
      <w:tabs>
        <w:tab w:val="clear" w:pos="706"/>
        <w:tab w:val="center" w:pos="4818" w:leader="none"/>
        <w:tab w:val="right" w:pos="9637" w:leader="none"/>
      </w:tabs>
      <w:spacing w:before="57" w:after="0"/>
    </w:pPr>
    <w:rPr>
      <w:sz w:val="18"/>
    </w:rPr>
  </w:style>
  <w:style w:type="paragraph" w:styleId="Pieddepagegauche">
    <w:name w:val="Pied de page gauche"/>
    <w:basedOn w:val="Normal"/>
    <w:autoRedefine/>
    <w:qFormat/>
    <w:pPr>
      <w:suppressLineNumbers/>
      <w:tabs>
        <w:tab w:val="clear" w:pos="706"/>
        <w:tab w:val="center" w:pos="4818" w:leader="none"/>
        <w:tab w:val="right" w:pos="9637" w:leader="none"/>
      </w:tabs>
    </w:pPr>
    <w:rPr>
      <w:sz w:val="20"/>
    </w:rPr>
  </w:style>
  <w:style w:type="paragraph" w:styleId="Pieddepagedroit">
    <w:name w:val="Pied de page droit"/>
    <w:basedOn w:val="Normal"/>
    <w:qFormat/>
    <w:pPr>
      <w:suppressLineNumbers/>
      <w:tabs>
        <w:tab w:val="clear" w:pos="706"/>
        <w:tab w:val="center" w:pos="4818" w:leader="none"/>
        <w:tab w:val="right" w:pos="9637" w:leader="none"/>
      </w:tabs>
    </w:pPr>
    <w:rPr>
      <w:sz w:val="20"/>
    </w:rPr>
  </w:style>
  <w:style w:type="paragraph" w:styleId="Titre10">
    <w:name w:val="Titre 10"/>
    <w:basedOn w:val="Titre"/>
    <w:next w:val="BodyText"/>
    <w:qFormat/>
    <w:pPr>
      <w:numPr>
        <w:ilvl w:val="8"/>
        <w:numId w:val="1"/>
      </w:numPr>
      <w:outlineLvl w:val="8"/>
    </w:pPr>
    <w:rPr>
      <w:b/>
      <w:bCs/>
      <w:sz w:val="24"/>
      <w:szCs w:val="21"/>
    </w:rPr>
  </w:style>
  <w:style w:type="paragraph" w:styleId="ListNumber">
    <w:name w:val="List Number"/>
    <w:basedOn w:val="List"/>
    <w:pPr>
      <w:spacing w:before="0" w:after="120"/>
      <w:ind w:hanging="0" w:start="0" w:end="0"/>
    </w:pPr>
    <w:rPr/>
  </w:style>
  <w:style w:type="paragraph" w:styleId="Tableau">
    <w:name w:val="Tableau"/>
    <w:basedOn w:val="Caption"/>
    <w:qFormat/>
    <w:pPr/>
    <w:rPr>
      <w:i w:val="false"/>
      <w:sz w:val="17"/>
    </w:rPr>
  </w:style>
  <w:style w:type="paragraph" w:styleId="Title">
    <w:name w:val="Title"/>
    <w:basedOn w:val="Titre"/>
    <w:qFormat/>
    <w:pPr/>
    <w:rPr/>
  </w:style>
  <w:style w:type="numbering" w:styleId="Puce">
    <w:name w:val="Puce •"/>
    <w:qFormat/>
  </w:style>
  <w:style w:type="numbering" w:styleId="Puce1">
    <w:name w:val="Puce –"/>
    <w:qFormat/>
  </w:style>
  <w:style w:type="numbering" w:styleId="Puce2">
    <w:name w:val="Puce ☑"/>
    <w:qFormat/>
  </w:style>
  <w:style w:type="numbering" w:styleId="Puce3">
    <w:name w:val="Puce ➢"/>
    <w:qFormat/>
  </w:style>
  <w:style w:type="numbering" w:styleId="Puce4">
    <w:name w:val="Puce ✗"/>
    <w:qFormat/>
  </w:style>
  <w:style w:type="numbering" w:styleId="Numbering1">
    <w:name w:val="Numbering 1"/>
    <w:qFormat/>
  </w:style>
  <w:style w:type="numbering" w:styleId="Numbering2">
    <w:name w:val="Numbering 2"/>
    <w:qFormat/>
  </w:style>
  <w:style w:type="numbering" w:styleId="Numbering3">
    <w:name w:val="Numbering 3"/>
    <w:qFormat/>
  </w:style>
  <w:style w:type="numbering" w:styleId="Numbering4">
    <w:name w:val="Numbering 4"/>
    <w:qFormat/>
  </w:style>
  <w:style w:type="numbering" w:styleId="Numbering5">
    <w:name w:val="Numbering 5"/>
    <w:qFormat/>
  </w:style>
  <w:style w:type="numbering" w:styleId="RTFNum2">
    <w:name w:val="RTF_Num 2"/>
    <w:qFormat/>
  </w:style>
  <w:style w:type="numbering" w:styleId="RTFNum3">
    <w:name w:val="RTF_Num 3"/>
    <w:qFormat/>
  </w:style>
  <w:style w:type="numbering" w:styleId="RTFNum4">
    <w:name w:val="RTF_Num 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Application>LibreOffice/25.8.4.2$Windows_X86_64 LibreOffice_project/290daaa01b999472f0c7a3890eb6a550fd74c6df</Application>
  <AppVersion>15.0000</AppVersion>
  <Pages>3</Pages>
  <Words>564</Words>
  <Characters>2215</Characters>
  <CharactersWithSpaces>2672</CharactersWithSpaces>
  <Paragraphs>125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/>
  <dc:language>fr-FR</dc:language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